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1EF5B">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olor w:val="auto"/>
          <w:sz w:val="24"/>
        </w:rPr>
      </w:pPr>
    </w:p>
    <w:p w14:paraId="0ED2C692">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olor w:val="auto"/>
          <w:sz w:val="24"/>
        </w:rPr>
      </w:pPr>
    </w:p>
    <w:p w14:paraId="6E22659D">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olor w:val="auto"/>
          <w:sz w:val="24"/>
        </w:rPr>
      </w:pPr>
    </w:p>
    <w:p w14:paraId="2E6226AA">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olor w:val="auto"/>
          <w:sz w:val="24"/>
        </w:rPr>
      </w:pPr>
    </w:p>
    <w:p w14:paraId="566CA660">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olor w:val="auto"/>
          <w:sz w:val="24"/>
        </w:rPr>
      </w:pPr>
    </w:p>
    <w:p w14:paraId="45B161F7">
      <w:pPr>
        <w:keepNext w:val="0"/>
        <w:keepLines w:val="0"/>
        <w:pageBreakBefore w:val="0"/>
        <w:widowControl w:val="0"/>
        <w:kinsoku/>
        <w:wordWrap/>
        <w:overflowPunct/>
        <w:topLinePunct w:val="0"/>
        <w:autoSpaceDE/>
        <w:autoSpaceDN/>
        <w:bidi w:val="0"/>
        <w:spacing w:line="360" w:lineRule="auto"/>
        <w:jc w:val="center"/>
        <w:textAlignment w:val="auto"/>
        <w:rPr>
          <w:rFonts w:hint="eastAsia" w:ascii="方正小标宋简体" w:hAnsi="方正小标宋简体" w:eastAsia="方正小标宋简体" w:cs="方正小标宋简体"/>
          <w:b w:val="0"/>
          <w:bCs w:val="0"/>
          <w:color w:val="auto"/>
          <w:sz w:val="44"/>
          <w:szCs w:val="44"/>
        </w:rPr>
      </w:pPr>
      <w:r>
        <w:rPr>
          <w:rFonts w:hint="eastAsia" w:ascii="Times New Roman" w:hAnsi="Times New Roman" w:eastAsia="方正小标宋简体" w:cs="方正小标宋简体"/>
          <w:b w:val="0"/>
          <w:bCs w:val="0"/>
          <w:color w:val="auto"/>
          <w:sz w:val="44"/>
          <w:szCs w:val="44"/>
          <w:lang w:eastAsia="zh-CN"/>
        </w:rPr>
        <w:t>2025</w:t>
      </w:r>
      <w:r>
        <w:rPr>
          <w:rFonts w:hint="eastAsia" w:ascii="方正小标宋简体" w:hAnsi="方正小标宋简体" w:eastAsia="方正小标宋简体" w:cs="方正小标宋简体"/>
          <w:b w:val="0"/>
          <w:bCs w:val="0"/>
          <w:color w:val="auto"/>
          <w:sz w:val="44"/>
          <w:szCs w:val="44"/>
        </w:rPr>
        <w:t>年度内蒙古大兴安岭森林公安局</w:t>
      </w:r>
    </w:p>
    <w:p w14:paraId="32173F26">
      <w:pPr>
        <w:keepNext w:val="0"/>
        <w:keepLines w:val="0"/>
        <w:pageBreakBefore w:val="0"/>
        <w:widowControl w:val="0"/>
        <w:kinsoku/>
        <w:wordWrap/>
        <w:overflowPunct/>
        <w:topLinePunct w:val="0"/>
        <w:autoSpaceDE/>
        <w:autoSpaceDN/>
        <w:bidi w:val="0"/>
        <w:spacing w:line="360" w:lineRule="auto"/>
        <w:jc w:val="center"/>
        <w:textAlignment w:val="auto"/>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得耳布尔分局</w:t>
      </w:r>
      <w:r>
        <w:rPr>
          <w:rFonts w:hint="eastAsia" w:ascii="方正小标宋简体" w:hAnsi="方正小标宋简体" w:eastAsia="方正小标宋简体" w:cs="方正小标宋简体"/>
          <w:b w:val="0"/>
          <w:bCs w:val="0"/>
          <w:color w:val="auto"/>
          <w:sz w:val="44"/>
          <w:szCs w:val="44"/>
          <w:lang w:val="en-US" w:eastAsia="zh-CN"/>
        </w:rPr>
        <w:t>决算</w:t>
      </w:r>
      <w:r>
        <w:rPr>
          <w:rFonts w:hint="eastAsia" w:ascii="方正小标宋简体" w:hAnsi="方正小标宋简体" w:eastAsia="方正小标宋简体" w:cs="方正小标宋简体"/>
          <w:b w:val="0"/>
          <w:bCs w:val="0"/>
          <w:color w:val="auto"/>
          <w:sz w:val="44"/>
          <w:szCs w:val="44"/>
        </w:rPr>
        <w:t>公开报告</w:t>
      </w:r>
    </w:p>
    <w:p w14:paraId="0DB60E1A">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b/>
          <w:bCs/>
          <w:color w:val="auto"/>
          <w:sz w:val="52"/>
          <w:szCs w:val="52"/>
        </w:rPr>
      </w:pPr>
    </w:p>
    <w:p w14:paraId="6C935B26">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b/>
          <w:bCs/>
          <w:color w:val="auto"/>
          <w:sz w:val="52"/>
          <w:szCs w:val="52"/>
        </w:rPr>
      </w:pPr>
    </w:p>
    <w:p w14:paraId="0FDBBA49">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b/>
          <w:bCs/>
          <w:color w:val="auto"/>
          <w:sz w:val="52"/>
          <w:szCs w:val="52"/>
        </w:rPr>
      </w:pPr>
    </w:p>
    <w:p w14:paraId="1411C0BD">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b/>
          <w:bCs/>
          <w:color w:val="auto"/>
          <w:sz w:val="52"/>
          <w:szCs w:val="52"/>
        </w:rPr>
      </w:pPr>
    </w:p>
    <w:p w14:paraId="71D46507">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b/>
          <w:bCs/>
          <w:color w:val="auto"/>
          <w:sz w:val="52"/>
          <w:szCs w:val="52"/>
        </w:rPr>
      </w:pPr>
    </w:p>
    <w:p w14:paraId="5B6A8AA0">
      <w:pPr>
        <w:keepNext w:val="0"/>
        <w:keepLines w:val="0"/>
        <w:pageBreakBefore w:val="0"/>
        <w:widowControl w:val="0"/>
        <w:kinsoku/>
        <w:wordWrap/>
        <w:overflowPunct/>
        <w:topLinePunct w:val="0"/>
        <w:autoSpaceDE/>
        <w:autoSpaceDN/>
        <w:bidi w:val="0"/>
        <w:ind w:firstLine="2249" w:firstLineChars="700"/>
        <w:textAlignment w:val="auto"/>
        <w:rPr>
          <w:rFonts w:ascii="仿宋" w:hAnsi="仿宋" w:eastAsia="仿宋"/>
          <w:b/>
          <w:color w:val="auto"/>
          <w:sz w:val="32"/>
          <w:szCs w:val="32"/>
        </w:rPr>
        <w:sectPr>
          <w:pgSz w:w="11906" w:h="16838"/>
          <w:pgMar w:top="1440" w:right="1800" w:bottom="1440" w:left="1800" w:header="0" w:footer="720" w:gutter="0"/>
          <w:cols w:space="425" w:num="1"/>
          <w:docGrid w:type="lines" w:linePitch="312" w:charSpace="0"/>
        </w:sectPr>
      </w:pPr>
    </w:p>
    <w:p w14:paraId="49A6EC56">
      <w:pPr>
        <w:pStyle w:val="29"/>
        <w:keepNext w:val="0"/>
        <w:keepLines w:val="0"/>
        <w:pageBreakBefore w:val="0"/>
        <w:widowControl w:val="0"/>
        <w:kinsoku/>
        <w:wordWrap/>
        <w:overflowPunct/>
        <w:topLinePunct w:val="0"/>
        <w:autoSpaceDE/>
        <w:autoSpaceDN/>
        <w:bidi w:val="0"/>
        <w:spacing w:after="240"/>
        <w:jc w:val="center"/>
        <w:textAlignment w:val="auto"/>
        <w:rPr>
          <w:rFonts w:ascii="Times New Roman" w:hAnsi="Times New Roman" w:eastAsia="Times New Roman" w:cs="Times New Roman"/>
          <w:color w:val="auto"/>
          <w:kern w:val="0"/>
          <w:sz w:val="24"/>
        </w:rPr>
      </w:pPr>
      <w:bookmarkStart w:id="0" w:name="a000"/>
      <w:r>
        <w:rPr>
          <w:rFonts w:hint="eastAsia" w:ascii="楷体_GB2312" w:hAnsi="楷体_GB2312" w:eastAsia="楷体_GB2312" w:cs="楷体_GB2312"/>
          <w:b/>
          <w:bCs/>
          <w:color w:val="auto"/>
          <w:kern w:val="0"/>
          <w:sz w:val="36"/>
          <w:szCs w:val="36"/>
        </w:rPr>
        <w:t>目</w:t>
      </w:r>
      <w:r>
        <w:rPr>
          <w:rFonts w:hint="eastAsia" w:ascii="楷体_GB2312" w:hAnsi="楷体_GB2312" w:eastAsia="楷体_GB2312" w:cs="楷体_GB2312"/>
          <w:b/>
          <w:bCs/>
          <w:color w:val="auto"/>
          <w:kern w:val="0"/>
          <w:sz w:val="36"/>
          <w:szCs w:val="36"/>
          <w:lang w:val="en-US" w:eastAsia="zh-CN"/>
        </w:rPr>
        <w:t xml:space="preserve">  </w:t>
      </w:r>
      <w:r>
        <w:rPr>
          <w:rFonts w:hint="eastAsia" w:ascii="楷体_GB2312" w:hAnsi="楷体_GB2312" w:eastAsia="楷体_GB2312" w:cs="楷体_GB2312"/>
          <w:b/>
          <w:bCs/>
          <w:color w:val="auto"/>
          <w:kern w:val="0"/>
          <w:sz w:val="36"/>
          <w:szCs w:val="36"/>
        </w:rPr>
        <w:t>录</w:t>
      </w:r>
    </w:p>
    <w:p w14:paraId="6C1E99AD">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第一部分</w:t>
      </w:r>
      <w:r>
        <w:rPr>
          <w:rFonts w:hint="eastAsia" w:ascii="楷体_GB2312" w:hAnsi="楷体_GB2312" w:eastAsia="楷体_GB2312" w:cs="楷体_GB2312"/>
          <w:b/>
          <w:bCs/>
          <w:color w:val="auto"/>
          <w:kern w:val="0"/>
          <w:sz w:val="32"/>
          <w:szCs w:val="32"/>
          <w:lang w:eastAsia="en-US"/>
        </w:rPr>
        <w:t xml:space="preserve"> </w:t>
      </w:r>
      <w:r>
        <w:rPr>
          <w:rFonts w:hint="eastAsia" w:ascii="楷体_GB2312" w:hAnsi="楷体_GB2312" w:eastAsia="楷体_GB2312" w:cs="楷体_GB2312"/>
          <w:b/>
          <w:bCs/>
          <w:color w:val="auto"/>
          <w:kern w:val="0"/>
          <w:sz w:val="32"/>
          <w:szCs w:val="32"/>
        </w:rPr>
        <w:t>单位概况</w:t>
      </w:r>
    </w:p>
    <w:p w14:paraId="6D30C3F1">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一、主要职能、职责</w:t>
      </w:r>
    </w:p>
    <w:p w14:paraId="4A27025C">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二、单位机构设置及决算单位构成情况</w:t>
      </w:r>
    </w:p>
    <w:p w14:paraId="1EE56DB9">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三、</w:t>
      </w:r>
      <w:r>
        <w:rPr>
          <w:rFonts w:hint="eastAsia" w:ascii="Times New Roman" w:hAnsi="Times New Roman" w:eastAsia="楷体_GB2312" w:cs="楷体_GB2312"/>
          <w:color w:val="auto"/>
          <w:kern w:val="0"/>
          <w:sz w:val="32"/>
          <w:szCs w:val="32"/>
          <w:lang w:eastAsia="zh-CN"/>
        </w:rPr>
        <w:t>2025</w:t>
      </w:r>
      <w:r>
        <w:rPr>
          <w:rFonts w:hint="eastAsia" w:ascii="楷体_GB2312" w:hAnsi="楷体_GB2312" w:eastAsia="楷体_GB2312" w:cs="楷体_GB2312"/>
          <w:color w:val="auto"/>
          <w:kern w:val="0"/>
          <w:sz w:val="32"/>
          <w:szCs w:val="32"/>
        </w:rPr>
        <w:t>年度单位主要工作完成情况</w:t>
      </w:r>
    </w:p>
    <w:p w14:paraId="447DF8FC">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第二部分</w:t>
      </w:r>
      <w:r>
        <w:rPr>
          <w:rFonts w:hint="eastAsia" w:ascii="楷体_GB2312" w:hAnsi="楷体_GB2312" w:eastAsia="楷体_GB2312" w:cs="楷体_GB2312"/>
          <w:b/>
          <w:bCs/>
          <w:color w:val="auto"/>
          <w:kern w:val="0"/>
          <w:sz w:val="32"/>
          <w:szCs w:val="32"/>
          <w:lang w:eastAsia="en-US"/>
        </w:rPr>
        <w:t xml:space="preserve"> </w:t>
      </w:r>
      <w:r>
        <w:rPr>
          <w:rFonts w:hint="eastAsia" w:ascii="楷体_GB2312" w:hAnsi="楷体_GB2312" w:eastAsia="楷体_GB2312" w:cs="楷体_GB2312"/>
          <w:b/>
          <w:bCs/>
          <w:color w:val="auto"/>
          <w:kern w:val="0"/>
          <w:sz w:val="32"/>
          <w:szCs w:val="32"/>
        </w:rPr>
        <w:t>单位决算情况说明</w:t>
      </w:r>
    </w:p>
    <w:p w14:paraId="6C6568A8">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一、收入支出决算总体情况说明</w:t>
      </w:r>
    </w:p>
    <w:p w14:paraId="3640793C">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二、收入决算情况说明</w:t>
      </w:r>
    </w:p>
    <w:p w14:paraId="0353AED8">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三、支出决算情况说明</w:t>
      </w:r>
    </w:p>
    <w:p w14:paraId="45A9DAF5">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四、财政拨款收入支出决算总体情况说明</w:t>
      </w:r>
    </w:p>
    <w:p w14:paraId="7238DD26">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五、一般公共预算财政拨款支出决算情况说明</w:t>
      </w:r>
    </w:p>
    <w:p w14:paraId="02D7AAC0">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六、一般公共预算财政拨款基本支出决算情况说明</w:t>
      </w:r>
    </w:p>
    <w:p w14:paraId="660E3CCB">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七、一般公共预算财政拨款项目支出决算情况说明</w:t>
      </w:r>
    </w:p>
    <w:p w14:paraId="377E340D">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八、财政拨款“三公”经费支出决算情况说明</w:t>
      </w:r>
    </w:p>
    <w:p w14:paraId="449391F8">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九、政府性基金预算财政拨款支出决算情况说明</w:t>
      </w:r>
    </w:p>
    <w:p w14:paraId="039AB1A7">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十、国有资本经营预算财政拨款支出决算情况说明</w:t>
      </w:r>
    </w:p>
    <w:p w14:paraId="486A566C">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十一、机关运行经费（公用经费）支出决算情况说明</w:t>
      </w:r>
    </w:p>
    <w:p w14:paraId="2EAF5063">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十二、政府采购支出决算情况说明</w:t>
      </w:r>
    </w:p>
    <w:p w14:paraId="597E4648">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十三、国有资产占用情况说明</w:t>
      </w:r>
    </w:p>
    <w:p w14:paraId="689FA103">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十四、预算绩效情况说明</w:t>
      </w:r>
    </w:p>
    <w:p w14:paraId="06915F6A">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第三部分</w:t>
      </w:r>
      <w:r>
        <w:rPr>
          <w:rFonts w:hint="eastAsia" w:ascii="楷体_GB2312" w:hAnsi="楷体_GB2312" w:eastAsia="楷体_GB2312" w:cs="楷体_GB2312"/>
          <w:b/>
          <w:bCs/>
          <w:color w:val="auto"/>
          <w:kern w:val="0"/>
          <w:sz w:val="32"/>
          <w:szCs w:val="32"/>
          <w:lang w:eastAsia="en-US"/>
        </w:rPr>
        <w:t xml:space="preserve"> </w:t>
      </w:r>
      <w:r>
        <w:rPr>
          <w:rFonts w:hint="eastAsia" w:ascii="楷体_GB2312" w:hAnsi="楷体_GB2312" w:eastAsia="楷体_GB2312" w:cs="楷体_GB2312"/>
          <w:b/>
          <w:bCs/>
          <w:color w:val="auto"/>
          <w:kern w:val="0"/>
          <w:sz w:val="32"/>
          <w:szCs w:val="32"/>
        </w:rPr>
        <w:t>名词解释</w:t>
      </w:r>
    </w:p>
    <w:p w14:paraId="69057DAA">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第四部分</w:t>
      </w:r>
      <w:r>
        <w:rPr>
          <w:rFonts w:hint="eastAsia" w:ascii="楷体_GB2312" w:hAnsi="楷体_GB2312" w:eastAsia="楷体_GB2312" w:cs="楷体_GB2312"/>
          <w:b/>
          <w:bCs/>
          <w:color w:val="auto"/>
          <w:kern w:val="0"/>
          <w:sz w:val="32"/>
          <w:szCs w:val="32"/>
          <w:lang w:eastAsia="en-US"/>
        </w:rPr>
        <w:t xml:space="preserve"> </w:t>
      </w:r>
      <w:r>
        <w:rPr>
          <w:rFonts w:hint="eastAsia" w:ascii="楷体_GB2312" w:hAnsi="楷体_GB2312" w:eastAsia="楷体_GB2312" w:cs="楷体_GB2312"/>
          <w:b/>
          <w:bCs/>
          <w:color w:val="auto"/>
          <w:kern w:val="0"/>
          <w:sz w:val="32"/>
          <w:szCs w:val="32"/>
        </w:rPr>
        <w:t>决算公开联系方式及信息反馈渠道</w:t>
      </w:r>
    </w:p>
    <w:p w14:paraId="516B5EBF">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第五部分</w:t>
      </w:r>
      <w:r>
        <w:rPr>
          <w:rFonts w:hint="eastAsia" w:ascii="楷体_GB2312" w:hAnsi="楷体_GB2312" w:eastAsia="楷体_GB2312" w:cs="楷体_GB2312"/>
          <w:b/>
          <w:bCs/>
          <w:color w:val="auto"/>
          <w:kern w:val="0"/>
          <w:sz w:val="32"/>
          <w:szCs w:val="32"/>
          <w:lang w:eastAsia="en-US"/>
        </w:rPr>
        <w:t xml:space="preserve"> </w:t>
      </w:r>
      <w:r>
        <w:rPr>
          <w:rFonts w:hint="eastAsia" w:ascii="楷体_GB2312" w:hAnsi="楷体_GB2312" w:eastAsia="楷体_GB2312" w:cs="楷体_GB2312"/>
          <w:b/>
          <w:bCs/>
          <w:color w:val="auto"/>
          <w:kern w:val="0"/>
          <w:sz w:val="32"/>
          <w:szCs w:val="32"/>
        </w:rPr>
        <w:t>单位决算表</w:t>
      </w:r>
    </w:p>
    <w:p w14:paraId="0662D8B9">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一、收入支出决算总表</w:t>
      </w:r>
    </w:p>
    <w:p w14:paraId="4FC6BABC">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二、收入决算表</w:t>
      </w:r>
    </w:p>
    <w:p w14:paraId="72590EEB">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三、支出决算表</w:t>
      </w:r>
    </w:p>
    <w:p w14:paraId="3B26214B">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四、财政拨款收入支出决算总表</w:t>
      </w:r>
    </w:p>
    <w:p w14:paraId="3643E177">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五、一般公共预算财政拨款支出决算表</w:t>
      </w:r>
    </w:p>
    <w:p w14:paraId="3A46EEF0">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六、一般公共预算财政拨款基本支出决算明细表</w:t>
      </w:r>
    </w:p>
    <w:p w14:paraId="25C452B7">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七、一般公共预算财政拨款项目支出决算明细表</w:t>
      </w:r>
    </w:p>
    <w:p w14:paraId="777420E0">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八、政府性基金预算财政拨款收入支出决算表</w:t>
      </w:r>
    </w:p>
    <w:p w14:paraId="33051644">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九、国有资本经营预算财政拨款收入支出决算表</w:t>
      </w:r>
    </w:p>
    <w:p w14:paraId="3D9263BD">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十、财政拨款“三公”经费支出决算表</w:t>
      </w:r>
    </w:p>
    <w:p w14:paraId="354E16A6">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十一、机关运行经费支出、国有资产占用情况及政府采购支出信息表</w:t>
      </w:r>
    </w:p>
    <w:p w14:paraId="7A72453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720" w:firstLineChars="200"/>
        <w:jc w:val="both"/>
        <w:textAlignment w:val="auto"/>
        <w:outlineLvl w:val="9"/>
        <w:rPr>
          <w:rFonts w:ascii="方正小标宋简体" w:hAnsi="方正小标宋简体" w:eastAsia="方正小标宋简体" w:cs="方正小标宋简体"/>
          <w:b w:val="0"/>
          <w:bCs w:val="0"/>
          <w:color w:val="auto"/>
          <w:kern w:val="0"/>
          <w:sz w:val="36"/>
          <w:szCs w:val="36"/>
        </w:rPr>
      </w:pPr>
    </w:p>
    <w:p w14:paraId="309A321D">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both"/>
        <w:textAlignment w:val="auto"/>
        <w:outlineLvl w:val="9"/>
        <w:rPr>
          <w:rFonts w:ascii="方正小标宋简体" w:hAnsi="方正小标宋简体" w:eastAsia="方正小标宋简体" w:cs="方正小标宋简体"/>
          <w:b w:val="0"/>
          <w:bCs w:val="0"/>
          <w:color w:val="auto"/>
          <w:kern w:val="0"/>
          <w:sz w:val="36"/>
          <w:szCs w:val="36"/>
        </w:rPr>
      </w:pPr>
    </w:p>
    <w:p w14:paraId="2C49C4E5">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both"/>
        <w:textAlignment w:val="auto"/>
        <w:outlineLvl w:val="9"/>
        <w:rPr>
          <w:rFonts w:ascii="方正小标宋简体" w:hAnsi="方正小标宋简体" w:eastAsia="方正小标宋简体" w:cs="方正小标宋简体"/>
          <w:b w:val="0"/>
          <w:bCs w:val="0"/>
          <w:color w:val="auto"/>
          <w:kern w:val="0"/>
          <w:sz w:val="36"/>
          <w:szCs w:val="36"/>
        </w:rPr>
      </w:pPr>
    </w:p>
    <w:p w14:paraId="321C5EA4">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both"/>
        <w:textAlignment w:val="auto"/>
        <w:outlineLvl w:val="9"/>
        <w:rPr>
          <w:rFonts w:ascii="方正小标宋简体" w:hAnsi="方正小标宋简体" w:eastAsia="方正小标宋简体" w:cs="方正小标宋简体"/>
          <w:b w:val="0"/>
          <w:bCs w:val="0"/>
          <w:color w:val="auto"/>
          <w:kern w:val="0"/>
          <w:sz w:val="36"/>
          <w:szCs w:val="36"/>
        </w:rPr>
      </w:pPr>
    </w:p>
    <w:p w14:paraId="22E57E53">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both"/>
        <w:textAlignment w:val="auto"/>
        <w:outlineLvl w:val="9"/>
        <w:rPr>
          <w:rFonts w:ascii="方正小标宋简体" w:hAnsi="方正小标宋简体" w:eastAsia="方正小标宋简体" w:cs="方正小标宋简体"/>
          <w:b w:val="0"/>
          <w:bCs w:val="0"/>
          <w:color w:val="auto"/>
          <w:kern w:val="0"/>
          <w:sz w:val="36"/>
          <w:szCs w:val="36"/>
        </w:rPr>
      </w:pPr>
    </w:p>
    <w:p w14:paraId="6F728DFA">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both"/>
        <w:textAlignment w:val="auto"/>
        <w:outlineLvl w:val="9"/>
        <w:rPr>
          <w:rFonts w:ascii="方正小标宋简体" w:hAnsi="方正小标宋简体" w:eastAsia="方正小标宋简体" w:cs="方正小标宋简体"/>
          <w:b w:val="0"/>
          <w:bCs w:val="0"/>
          <w:color w:val="auto"/>
          <w:kern w:val="0"/>
          <w:sz w:val="36"/>
          <w:szCs w:val="36"/>
        </w:rPr>
      </w:pPr>
    </w:p>
    <w:p w14:paraId="69DB341E">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both"/>
        <w:textAlignment w:val="auto"/>
        <w:outlineLvl w:val="9"/>
        <w:rPr>
          <w:rFonts w:ascii="方正小标宋简体" w:hAnsi="方正小标宋简体" w:eastAsia="方正小标宋简体" w:cs="方正小标宋简体"/>
          <w:b w:val="0"/>
          <w:bCs w:val="0"/>
          <w:color w:val="auto"/>
          <w:kern w:val="0"/>
          <w:sz w:val="36"/>
          <w:szCs w:val="36"/>
        </w:rPr>
      </w:pPr>
    </w:p>
    <w:p w14:paraId="5C0211EC">
      <w:pPr>
        <w:pStyle w:val="3"/>
        <w:keepNext w:val="0"/>
        <w:keepLines w:val="0"/>
        <w:pageBreakBefore w:val="0"/>
        <w:widowControl w:val="0"/>
        <w:kinsoku/>
        <w:wordWrap/>
        <w:overflowPunct/>
        <w:topLinePunct w:val="0"/>
        <w:autoSpaceDE/>
        <w:autoSpaceDN/>
        <w:bidi w:val="0"/>
        <w:spacing w:before="0" w:after="0" w:line="360" w:lineRule="auto"/>
        <w:ind w:left="0" w:right="0"/>
        <w:jc w:val="both"/>
        <w:textAlignment w:val="auto"/>
        <w:rPr>
          <w:rFonts w:ascii="方正小标宋简体" w:hAnsi="方正小标宋简体" w:eastAsia="方正小标宋简体" w:cs="方正小标宋简体"/>
          <w:b w:val="0"/>
          <w:bCs w:val="0"/>
          <w:color w:val="auto"/>
          <w:kern w:val="0"/>
          <w:sz w:val="36"/>
          <w:szCs w:val="36"/>
        </w:rPr>
      </w:pPr>
    </w:p>
    <w:p w14:paraId="2230DFC8">
      <w:pPr>
        <w:keepNext w:val="0"/>
        <w:keepLines w:val="0"/>
        <w:pageBreakBefore w:val="0"/>
        <w:widowControl w:val="0"/>
        <w:kinsoku/>
        <w:wordWrap/>
        <w:overflowPunct/>
        <w:topLinePunct w:val="0"/>
        <w:autoSpaceDE/>
        <w:autoSpaceDN/>
        <w:bidi w:val="0"/>
        <w:adjustRightInd/>
        <w:snapToGrid/>
        <w:spacing w:before="0" w:after="0" w:line="560" w:lineRule="exact"/>
        <w:ind w:right="0"/>
        <w:jc w:val="center"/>
        <w:textAlignment w:val="auto"/>
        <w:outlineLvl w:val="9"/>
        <w:rPr>
          <w:rFonts w:ascii="方正小标宋简体" w:hAnsi="方正小标宋简体" w:eastAsia="方正小标宋简体" w:cs="方正小标宋简体"/>
          <w:b w:val="0"/>
          <w:bCs w:val="0"/>
          <w:color w:val="auto"/>
          <w:kern w:val="0"/>
          <w:sz w:val="44"/>
          <w:szCs w:val="44"/>
        </w:rPr>
        <w:sectPr>
          <w:footerReference r:id="rId3" w:type="default"/>
          <w:pgSz w:w="11906" w:h="16838"/>
          <w:pgMar w:top="1440" w:right="1800" w:bottom="1440" w:left="1800" w:header="0" w:footer="720" w:gutter="0"/>
          <w:pgNumType w:fmt="numberInDash" w:start="1"/>
          <w:cols w:space="425" w:num="1"/>
          <w:docGrid w:type="lines" w:linePitch="312" w:charSpace="0"/>
        </w:sectPr>
      </w:pPr>
    </w:p>
    <w:p w14:paraId="3BC048AC">
      <w:pPr>
        <w:keepNext w:val="0"/>
        <w:keepLines w:val="0"/>
        <w:pageBreakBefore w:val="0"/>
        <w:widowControl w:val="0"/>
        <w:kinsoku/>
        <w:wordWrap/>
        <w:overflowPunct/>
        <w:topLinePunct w:val="0"/>
        <w:autoSpaceDE/>
        <w:autoSpaceDN/>
        <w:bidi w:val="0"/>
        <w:adjustRightInd/>
        <w:snapToGrid/>
        <w:spacing w:before="0" w:after="0" w:line="560" w:lineRule="exact"/>
        <w:ind w:right="0"/>
        <w:jc w:val="center"/>
        <w:textAlignment w:val="auto"/>
        <w:outlineLvl w:val="9"/>
        <w:rPr>
          <w:rFonts w:ascii="Times New Roman" w:hAnsi="Times New Roman" w:eastAsia="Times New Roman" w:cs="Times New Roman"/>
          <w:b/>
          <w:bCs/>
          <w:color w:val="auto"/>
          <w:kern w:val="0"/>
          <w:sz w:val="44"/>
          <w:szCs w:val="44"/>
        </w:rPr>
      </w:pPr>
      <w:r>
        <w:rPr>
          <w:rFonts w:ascii="方正小标宋简体" w:hAnsi="方正小标宋简体" w:eastAsia="方正小标宋简体" w:cs="方正小标宋简体"/>
          <w:b w:val="0"/>
          <w:bCs w:val="0"/>
          <w:color w:val="auto"/>
          <w:kern w:val="0"/>
          <w:sz w:val="44"/>
          <w:szCs w:val="44"/>
        </w:rPr>
        <w:t>第一部分</w:t>
      </w:r>
      <w:r>
        <w:rPr>
          <w:rFonts w:ascii="方正小标宋简体" w:hAnsi="方正小标宋简体" w:eastAsia="方正小标宋简体" w:cs="方正小标宋简体"/>
          <w:b w:val="0"/>
          <w:bCs w:val="0"/>
          <w:color w:val="auto"/>
          <w:kern w:val="0"/>
          <w:sz w:val="44"/>
          <w:szCs w:val="44"/>
          <w:lang w:eastAsia="en-US"/>
        </w:rPr>
        <w:t xml:space="preserve"> </w:t>
      </w:r>
      <w:r>
        <w:rPr>
          <w:rFonts w:hint="eastAsia" w:ascii="方正小标宋简体" w:hAnsi="方正小标宋简体" w:eastAsia="方正小标宋简体" w:cs="方正小标宋简体"/>
          <w:b w:val="0"/>
          <w:bCs w:val="0"/>
          <w:color w:val="auto"/>
          <w:kern w:val="0"/>
          <w:sz w:val="44"/>
          <w:szCs w:val="44"/>
          <w:lang w:val="en-US" w:eastAsia="zh-CN"/>
        </w:rPr>
        <w:t xml:space="preserve"> </w:t>
      </w:r>
      <w:r>
        <w:rPr>
          <w:rFonts w:ascii="方正小标宋简体" w:hAnsi="方正小标宋简体" w:eastAsia="方正小标宋简体" w:cs="方正小标宋简体"/>
          <w:b w:val="0"/>
          <w:bCs w:val="0"/>
          <w:color w:val="auto"/>
          <w:kern w:val="0"/>
          <w:sz w:val="44"/>
          <w:szCs w:val="44"/>
        </w:rPr>
        <w:t>单位概况</w:t>
      </w:r>
    </w:p>
    <w:p w14:paraId="6090B7C6">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黑体" w:hAnsi="黑体" w:eastAsia="黑体" w:cs="黑体"/>
          <w:b w:val="0"/>
          <w:bCs w:val="0"/>
          <w:color w:val="auto"/>
          <w:kern w:val="0"/>
          <w:sz w:val="32"/>
          <w:szCs w:val="32"/>
        </w:rPr>
      </w:pPr>
    </w:p>
    <w:p w14:paraId="2DBB321A">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黑体" w:hAnsi="黑体" w:eastAsia="黑体" w:cs="黑体"/>
          <w:b w:val="0"/>
          <w:bCs w:val="0"/>
          <w:color w:val="auto"/>
          <w:kern w:val="0"/>
          <w:sz w:val="32"/>
          <w:szCs w:val="32"/>
        </w:rPr>
      </w:pPr>
      <w:r>
        <w:rPr>
          <w:rFonts w:ascii="黑体" w:hAnsi="黑体" w:eastAsia="黑体" w:cs="黑体"/>
          <w:b w:val="0"/>
          <w:bCs w:val="0"/>
          <w:color w:val="auto"/>
          <w:kern w:val="0"/>
          <w:sz w:val="32"/>
          <w:szCs w:val="32"/>
        </w:rPr>
        <w:t>一、主要职能、职责</w:t>
      </w:r>
    </w:p>
    <w:p w14:paraId="26F86EA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color w:val="auto"/>
          <w:sz w:val="32"/>
          <w:szCs w:val="32"/>
        </w:rPr>
      </w:pPr>
      <w:r>
        <w:rPr>
          <w:rFonts w:hint="eastAsia" w:ascii="楷体_GB2312" w:hAnsi="楷体_GB2312" w:eastAsia="楷体_GB2312" w:cs="楷体_GB2312"/>
          <w:b/>
          <w:color w:val="auto"/>
          <w:kern w:val="0"/>
          <w:sz w:val="32"/>
          <w:szCs w:val="32"/>
          <w:lang w:bidi="ar"/>
        </w:rPr>
        <w:t>（一）单位职能</w:t>
      </w:r>
    </w:p>
    <w:p w14:paraId="05CFA6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内蒙古大兴安岭森林公安局得耳布尔分局系政法机关，由内蒙古大兴安岭森林公安局管理，履行维护林区政治和社会治安稳定，打击刑事和经济领域犯罪、保护森林和野生动植物资源安全、促进环境和自然生态系统和谐发展、筑牢祖国北疆安全稳定屏障和生态安全屏障。</w:t>
      </w:r>
    </w:p>
    <w:p w14:paraId="4365960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color w:val="auto"/>
          <w:kern w:val="0"/>
          <w:sz w:val="32"/>
          <w:szCs w:val="32"/>
          <w:lang w:bidi="ar"/>
        </w:rPr>
      </w:pPr>
      <w:r>
        <w:rPr>
          <w:rFonts w:hint="eastAsia" w:ascii="楷体_GB2312" w:hAnsi="楷体_GB2312" w:eastAsia="楷体_GB2312" w:cs="楷体_GB2312"/>
          <w:b/>
          <w:color w:val="auto"/>
          <w:kern w:val="0"/>
          <w:sz w:val="32"/>
          <w:szCs w:val="32"/>
          <w:lang w:bidi="ar"/>
        </w:rPr>
        <w:t>（二）主要职责</w:t>
      </w:r>
    </w:p>
    <w:p w14:paraId="394CFC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lang w:eastAsia="zh-CN"/>
        </w:rPr>
        <w:t>1</w:t>
      </w:r>
      <w:r>
        <w:rPr>
          <w:rFonts w:hint="eastAsia" w:ascii="仿宋_GB2312" w:hAnsi="仿宋_GB2312" w:eastAsia="仿宋_GB2312" w:cs="仿宋_GB2312"/>
          <w:color w:val="auto"/>
          <w:kern w:val="0"/>
          <w:sz w:val="32"/>
          <w:szCs w:val="32"/>
        </w:rPr>
        <w:t>.贯彻执行国家有关公安工作的方针政策、法律法规，履行维护林区政治和社会治安稳定，打击刑事和经济领域犯罪、保护森林和野生动植物资源安全、促进环境和自然生态系统和谐发展、筑牢祖国北疆安全稳定屏障和生态安全屏障的职责。</w:t>
      </w:r>
    </w:p>
    <w:p w14:paraId="4CA67D4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lang w:eastAsia="zh-CN"/>
        </w:rPr>
        <w:t>2</w:t>
      </w:r>
      <w:r>
        <w:rPr>
          <w:rFonts w:hint="eastAsia" w:ascii="仿宋_GB2312" w:hAnsi="仿宋_GB2312" w:eastAsia="仿宋_GB2312" w:cs="仿宋_GB2312"/>
          <w:color w:val="auto"/>
          <w:kern w:val="0"/>
          <w:sz w:val="32"/>
          <w:szCs w:val="32"/>
        </w:rPr>
        <w:t>.负责辖区的接处警、警力的调度指挥等工作。</w:t>
      </w:r>
    </w:p>
    <w:p w14:paraId="7E87544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lang w:eastAsia="zh-CN"/>
        </w:rPr>
        <w:t>3</w:t>
      </w:r>
      <w:r>
        <w:rPr>
          <w:rFonts w:hint="eastAsia" w:ascii="仿宋_GB2312" w:hAnsi="仿宋_GB2312" w:eastAsia="仿宋_GB2312" w:cs="仿宋_GB2312"/>
          <w:color w:val="auto"/>
          <w:kern w:val="0"/>
          <w:sz w:val="32"/>
          <w:szCs w:val="32"/>
        </w:rPr>
        <w:t>.履行纪检监察、警务督察工作职责，抓好队伍和党风廉政建设，维护民警合法权益。</w:t>
      </w:r>
    </w:p>
    <w:p w14:paraId="09CA64F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黑体" w:hAnsi="黑体" w:eastAsia="黑体" w:cs="黑体"/>
          <w:b/>
          <w:bCs/>
          <w:color w:val="auto"/>
          <w:kern w:val="0"/>
          <w:sz w:val="32"/>
          <w:szCs w:val="32"/>
        </w:rPr>
      </w:pPr>
      <w:r>
        <w:rPr>
          <w:rFonts w:hint="eastAsia" w:ascii="Times New Roman" w:hAnsi="Times New Roman" w:eastAsia="仿宋_GB2312" w:cs="仿宋_GB2312"/>
          <w:color w:val="auto"/>
          <w:kern w:val="0"/>
          <w:sz w:val="32"/>
          <w:szCs w:val="32"/>
          <w:lang w:eastAsia="zh-CN"/>
        </w:rPr>
        <w:t>4</w:t>
      </w:r>
      <w:r>
        <w:rPr>
          <w:rFonts w:hint="eastAsia" w:ascii="仿宋_GB2312" w:hAnsi="仿宋_GB2312" w:eastAsia="仿宋_GB2312" w:cs="仿宋_GB2312"/>
          <w:color w:val="auto"/>
          <w:kern w:val="0"/>
          <w:sz w:val="32"/>
          <w:szCs w:val="32"/>
        </w:rPr>
        <w:t>.负责侦办辖区内的各类刑事案件、经济犯罪案件和司法鉴定工作。</w:t>
      </w:r>
    </w:p>
    <w:p w14:paraId="575C6CC0">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ascii="Times New Roman" w:hAnsi="Times New Roman" w:eastAsia="Times New Roman" w:cs="Times New Roman"/>
          <w:color w:val="auto"/>
          <w:kern w:val="0"/>
          <w:sz w:val="32"/>
          <w:szCs w:val="32"/>
        </w:rPr>
      </w:pPr>
      <w:r>
        <w:rPr>
          <w:rFonts w:ascii="黑体" w:hAnsi="黑体" w:eastAsia="黑体" w:cs="黑体"/>
          <w:b/>
          <w:bCs/>
          <w:color w:val="auto"/>
          <w:kern w:val="0"/>
          <w:sz w:val="32"/>
          <w:szCs w:val="32"/>
        </w:rPr>
        <w:t>二、单位机构设置及决算单位构成情况</w:t>
      </w:r>
    </w:p>
    <w:p w14:paraId="76F237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lang w:eastAsia="zh-CN"/>
        </w:rPr>
        <w:t>1</w:t>
      </w:r>
      <w:r>
        <w:rPr>
          <w:rFonts w:hint="eastAsia" w:ascii="仿宋_GB2312" w:hAnsi="仿宋_GB2312" w:eastAsia="仿宋_GB2312" w:cs="仿宋_GB2312"/>
          <w:color w:val="auto"/>
          <w:kern w:val="0"/>
          <w:sz w:val="32"/>
          <w:szCs w:val="32"/>
        </w:rPr>
        <w:t>.根据内蒙古大兴安岭森林公安局得耳布尔分局职责分工，本单位内设机构信息因涉及敏感内容，未在报告中体现。本单位无下属单位。</w:t>
      </w:r>
    </w:p>
    <w:p w14:paraId="38EB21E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lang w:eastAsia="zh-CN"/>
        </w:rPr>
        <w:t>2</w:t>
      </w:r>
      <w:r>
        <w:rPr>
          <w:rFonts w:hint="eastAsia" w:ascii="仿宋_GB2312" w:hAnsi="仿宋_GB2312" w:eastAsia="仿宋_GB2312" w:cs="仿宋_GB2312"/>
          <w:color w:val="auto"/>
          <w:kern w:val="0"/>
          <w:sz w:val="32"/>
          <w:szCs w:val="32"/>
        </w:rPr>
        <w:t>.从决算单位构成看，纳入本单位汇总决算编制范围的三级预算单位共计</w:t>
      </w:r>
      <w:r>
        <w:rPr>
          <w:rFonts w:hint="eastAsia" w:ascii="Times New Roman" w:hAnsi="Times New Roman" w:eastAsia="仿宋_GB2312" w:cs="仿宋_GB2312"/>
          <w:color w:val="auto"/>
          <w:kern w:val="0"/>
          <w:sz w:val="32"/>
          <w:szCs w:val="32"/>
          <w:lang w:eastAsia="zh-CN"/>
        </w:rPr>
        <w:t>1</w:t>
      </w:r>
      <w:r>
        <w:rPr>
          <w:rFonts w:hint="eastAsia" w:ascii="仿宋_GB2312" w:hAnsi="仿宋_GB2312" w:eastAsia="仿宋_GB2312" w:cs="仿宋_GB2312"/>
          <w:color w:val="auto"/>
          <w:kern w:val="0"/>
          <w:sz w:val="32"/>
          <w:szCs w:val="32"/>
        </w:rPr>
        <w:t>家。详细情况见表：</w:t>
      </w:r>
    </w:p>
    <w:tbl>
      <w:tblPr>
        <w:tblStyle w:val="19"/>
        <w:tblW w:w="4493" w:type="pct"/>
        <w:jc w:val="center"/>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847"/>
        <w:gridCol w:w="3660"/>
        <w:gridCol w:w="2996"/>
      </w:tblGrid>
      <w:tr w14:paraId="4AEA52D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526" w:hRule="atLeast"/>
          <w:tblHeader/>
          <w:jc w:val="center"/>
        </w:trPr>
        <w:tc>
          <w:tcPr>
            <w:tcW w:w="564" w:type="pct"/>
            <w:tcBorders>
              <w:bottom w:val="inset" w:color="808080" w:sz="6" w:space="0"/>
              <w:right w:val="inset" w:color="808080" w:sz="6" w:space="0"/>
            </w:tcBorders>
            <w:tcMar>
              <w:top w:w="22" w:type="dxa"/>
              <w:left w:w="22" w:type="dxa"/>
              <w:bottom w:w="22" w:type="dxa"/>
              <w:right w:w="22" w:type="dxa"/>
            </w:tcMar>
            <w:vAlign w:val="center"/>
          </w:tcPr>
          <w:p w14:paraId="05AE8781">
            <w:pPr>
              <w:keepNext w:val="0"/>
              <w:keepLines w:val="0"/>
              <w:pageBreakBefore w:val="0"/>
              <w:widowControl w:val="0"/>
              <w:kinsoku/>
              <w:wordWrap/>
              <w:overflowPunct/>
              <w:topLinePunct w:val="0"/>
              <w:autoSpaceDE/>
              <w:autoSpaceDN/>
              <w:bidi w:val="0"/>
              <w:spacing w:after="0" w:line="560" w:lineRule="exact"/>
              <w:jc w:val="center"/>
              <w:textAlignment w:val="auto"/>
              <w:rPr>
                <w:rFonts w:eastAsia="黑体"/>
                <w:color w:val="auto"/>
                <w:kern w:val="0"/>
                <w:sz w:val="32"/>
                <w:szCs w:val="32"/>
              </w:rPr>
            </w:pPr>
            <w:r>
              <w:rPr>
                <w:rFonts w:eastAsia="黑体"/>
                <w:color w:val="auto"/>
                <w:kern w:val="0"/>
                <w:sz w:val="32"/>
                <w:szCs w:val="32"/>
              </w:rPr>
              <w:t>序号</w:t>
            </w:r>
          </w:p>
        </w:tc>
        <w:tc>
          <w:tcPr>
            <w:tcW w:w="2438" w:type="pct"/>
            <w:tcBorders>
              <w:left w:val="inset" w:color="808080" w:sz="6" w:space="0"/>
              <w:bottom w:val="inset" w:color="808080" w:sz="6" w:space="0"/>
              <w:right w:val="inset" w:color="808080" w:sz="6" w:space="0"/>
            </w:tcBorders>
            <w:tcMar>
              <w:top w:w="22" w:type="dxa"/>
              <w:left w:w="22" w:type="dxa"/>
              <w:bottom w:w="22" w:type="dxa"/>
              <w:right w:w="22" w:type="dxa"/>
            </w:tcMar>
            <w:vAlign w:val="center"/>
          </w:tcPr>
          <w:p w14:paraId="7AC65B03">
            <w:pPr>
              <w:keepNext w:val="0"/>
              <w:keepLines w:val="0"/>
              <w:pageBreakBefore w:val="0"/>
              <w:widowControl w:val="0"/>
              <w:kinsoku/>
              <w:wordWrap/>
              <w:overflowPunct/>
              <w:topLinePunct w:val="0"/>
              <w:autoSpaceDE/>
              <w:autoSpaceDN/>
              <w:bidi w:val="0"/>
              <w:spacing w:after="0" w:line="560" w:lineRule="exact"/>
              <w:jc w:val="center"/>
              <w:textAlignment w:val="auto"/>
              <w:rPr>
                <w:rFonts w:eastAsia="黑体"/>
                <w:color w:val="auto"/>
                <w:kern w:val="0"/>
                <w:sz w:val="32"/>
                <w:szCs w:val="32"/>
              </w:rPr>
            </w:pPr>
            <w:r>
              <w:rPr>
                <w:rFonts w:eastAsia="黑体"/>
                <w:color w:val="auto"/>
                <w:kern w:val="0"/>
                <w:sz w:val="32"/>
                <w:szCs w:val="32"/>
              </w:rPr>
              <w:t>单位名称</w:t>
            </w:r>
          </w:p>
        </w:tc>
        <w:tc>
          <w:tcPr>
            <w:tcW w:w="1996" w:type="pct"/>
            <w:tcBorders>
              <w:left w:val="inset" w:color="808080" w:sz="6" w:space="0"/>
              <w:bottom w:val="inset" w:color="808080" w:sz="6" w:space="0"/>
            </w:tcBorders>
            <w:tcMar>
              <w:top w:w="22" w:type="dxa"/>
              <w:left w:w="22" w:type="dxa"/>
              <w:bottom w:w="22" w:type="dxa"/>
              <w:right w:w="22" w:type="dxa"/>
            </w:tcMar>
            <w:vAlign w:val="center"/>
          </w:tcPr>
          <w:p w14:paraId="3F80076D">
            <w:pPr>
              <w:keepNext w:val="0"/>
              <w:keepLines w:val="0"/>
              <w:pageBreakBefore w:val="0"/>
              <w:widowControl w:val="0"/>
              <w:kinsoku/>
              <w:wordWrap/>
              <w:overflowPunct/>
              <w:topLinePunct w:val="0"/>
              <w:autoSpaceDE/>
              <w:autoSpaceDN/>
              <w:bidi w:val="0"/>
              <w:spacing w:after="0" w:line="560" w:lineRule="exact"/>
              <w:jc w:val="center"/>
              <w:textAlignment w:val="auto"/>
              <w:rPr>
                <w:rFonts w:eastAsia="黑体"/>
                <w:color w:val="auto"/>
                <w:kern w:val="0"/>
                <w:sz w:val="32"/>
                <w:szCs w:val="32"/>
              </w:rPr>
            </w:pPr>
            <w:r>
              <w:rPr>
                <w:rFonts w:eastAsia="黑体"/>
                <w:color w:val="auto"/>
                <w:kern w:val="0"/>
                <w:sz w:val="32"/>
                <w:szCs w:val="32"/>
              </w:rPr>
              <w:t>单位性质</w:t>
            </w:r>
          </w:p>
        </w:tc>
      </w:tr>
      <w:tr w14:paraId="4739DDE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1089" w:hRule="atLeast"/>
          <w:jc w:val="center"/>
        </w:trPr>
        <w:tc>
          <w:tcPr>
            <w:tcW w:w="564" w:type="pct"/>
            <w:tcBorders>
              <w:top w:val="inset" w:color="808080" w:sz="6" w:space="0"/>
              <w:bottom w:val="inset" w:color="808080" w:sz="6" w:space="0"/>
              <w:right w:val="inset" w:color="808080" w:sz="6" w:space="0"/>
            </w:tcBorders>
            <w:tcMar>
              <w:top w:w="22" w:type="dxa"/>
              <w:left w:w="22" w:type="dxa"/>
              <w:bottom w:w="22" w:type="dxa"/>
              <w:right w:w="22" w:type="dxa"/>
            </w:tcMar>
            <w:vAlign w:val="center"/>
          </w:tcPr>
          <w:p w14:paraId="57417842">
            <w:pPr>
              <w:keepNext w:val="0"/>
              <w:keepLines w:val="0"/>
              <w:pageBreakBefore w:val="0"/>
              <w:widowControl w:val="0"/>
              <w:kinsoku/>
              <w:wordWrap/>
              <w:overflowPunct/>
              <w:topLinePunct w:val="0"/>
              <w:autoSpaceDE/>
              <w:autoSpaceDN/>
              <w:bidi w:val="0"/>
              <w:spacing w:after="0" w:line="560" w:lineRule="exact"/>
              <w:jc w:val="center"/>
              <w:textAlignment w:val="auto"/>
              <w:rPr>
                <w:rFonts w:hint="eastAsia" w:eastAsia="仿宋_GB2312"/>
                <w:color w:val="auto"/>
                <w:kern w:val="0"/>
                <w:sz w:val="32"/>
                <w:szCs w:val="32"/>
                <w:lang w:eastAsia="zh-CN"/>
              </w:rPr>
            </w:pPr>
            <w:r>
              <w:rPr>
                <w:rFonts w:hint="eastAsia" w:ascii="Times New Roman" w:hAnsi="Times New Roman" w:eastAsia="仿宋_GB2312"/>
                <w:color w:val="auto"/>
                <w:kern w:val="0"/>
                <w:sz w:val="32"/>
                <w:szCs w:val="32"/>
                <w:lang w:eastAsia="zh-CN"/>
              </w:rPr>
              <w:t>1</w:t>
            </w:r>
          </w:p>
        </w:tc>
        <w:tc>
          <w:tcPr>
            <w:tcW w:w="2438" w:type="pct"/>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0AED80D">
            <w:pPr>
              <w:keepNext w:val="0"/>
              <w:keepLines w:val="0"/>
              <w:pageBreakBefore w:val="0"/>
              <w:widowControl w:val="0"/>
              <w:kinsoku/>
              <w:wordWrap/>
              <w:overflowPunct/>
              <w:topLinePunct w:val="0"/>
              <w:autoSpaceDE/>
              <w:autoSpaceDN/>
              <w:bidi w:val="0"/>
              <w:spacing w:after="0" w:line="560" w:lineRule="exact"/>
              <w:jc w:val="center"/>
              <w:textAlignment w:val="auto"/>
              <w:rPr>
                <w:rFonts w:eastAsia="仿宋_GB2312"/>
                <w:color w:val="auto"/>
                <w:kern w:val="0"/>
                <w:sz w:val="32"/>
                <w:szCs w:val="32"/>
              </w:rPr>
            </w:pPr>
            <w:r>
              <w:rPr>
                <w:rFonts w:hint="eastAsia" w:eastAsia="仿宋_GB2312"/>
                <w:color w:val="auto"/>
                <w:kern w:val="0"/>
                <w:sz w:val="32"/>
                <w:szCs w:val="32"/>
              </w:rPr>
              <w:t>内蒙古大兴安岭森林公安局得耳布尔分局</w:t>
            </w:r>
          </w:p>
        </w:tc>
        <w:tc>
          <w:tcPr>
            <w:tcW w:w="1996" w:type="pct"/>
            <w:tcBorders>
              <w:top w:val="inset" w:color="808080" w:sz="6" w:space="0"/>
              <w:left w:val="inset" w:color="808080" w:sz="6" w:space="0"/>
              <w:bottom w:val="inset" w:color="808080" w:sz="6" w:space="0"/>
            </w:tcBorders>
            <w:tcMar>
              <w:top w:w="22" w:type="dxa"/>
              <w:left w:w="22" w:type="dxa"/>
              <w:bottom w:w="22" w:type="dxa"/>
              <w:right w:w="22" w:type="dxa"/>
            </w:tcMar>
            <w:vAlign w:val="center"/>
          </w:tcPr>
          <w:p w14:paraId="0EC39E7A">
            <w:pPr>
              <w:keepNext w:val="0"/>
              <w:keepLines w:val="0"/>
              <w:pageBreakBefore w:val="0"/>
              <w:widowControl w:val="0"/>
              <w:kinsoku/>
              <w:wordWrap/>
              <w:overflowPunct/>
              <w:topLinePunct w:val="0"/>
              <w:autoSpaceDE/>
              <w:autoSpaceDN/>
              <w:bidi w:val="0"/>
              <w:spacing w:after="0" w:line="560" w:lineRule="exact"/>
              <w:jc w:val="center"/>
              <w:textAlignment w:val="auto"/>
              <w:rPr>
                <w:rFonts w:eastAsia="仿宋_GB2312"/>
                <w:color w:val="auto"/>
                <w:kern w:val="0"/>
                <w:sz w:val="32"/>
                <w:szCs w:val="32"/>
              </w:rPr>
            </w:pPr>
            <w:r>
              <w:rPr>
                <w:rFonts w:eastAsia="仿宋_GB2312"/>
                <w:color w:val="auto"/>
                <w:kern w:val="0"/>
                <w:sz w:val="32"/>
                <w:szCs w:val="32"/>
              </w:rPr>
              <w:t>行政单位</w:t>
            </w:r>
          </w:p>
        </w:tc>
      </w:tr>
    </w:tbl>
    <w:p w14:paraId="795CA30E">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黑体" w:hAnsi="黑体" w:eastAsia="黑体" w:cs="黑体"/>
          <w:color w:val="auto"/>
          <w:kern w:val="0"/>
          <w:sz w:val="32"/>
          <w:szCs w:val="32"/>
        </w:rPr>
      </w:pPr>
      <w:r>
        <w:rPr>
          <w:rFonts w:hint="eastAsia" w:ascii="黑体" w:hAnsi="黑体" w:eastAsia="黑体" w:cs="黑体"/>
          <w:b/>
          <w:bCs/>
          <w:color w:val="auto"/>
          <w:kern w:val="0"/>
          <w:sz w:val="32"/>
          <w:szCs w:val="32"/>
        </w:rPr>
        <w:t>三、</w:t>
      </w:r>
      <w:r>
        <w:rPr>
          <w:rFonts w:hint="eastAsia" w:ascii="Times New Roman" w:hAnsi="Times New Roman" w:eastAsia="黑体" w:cs="黑体"/>
          <w:b/>
          <w:bCs/>
          <w:color w:val="auto"/>
          <w:kern w:val="0"/>
          <w:sz w:val="32"/>
          <w:szCs w:val="32"/>
          <w:lang w:eastAsia="zh-CN"/>
        </w:rPr>
        <w:t>2025</w:t>
      </w:r>
      <w:r>
        <w:rPr>
          <w:rFonts w:hint="eastAsia" w:ascii="黑体" w:hAnsi="黑体" w:eastAsia="黑体" w:cs="黑体"/>
          <w:b/>
          <w:bCs/>
          <w:color w:val="auto"/>
          <w:kern w:val="0"/>
          <w:sz w:val="32"/>
          <w:szCs w:val="32"/>
        </w:rPr>
        <w:t>年度单位主要工作完成情况</w:t>
      </w:r>
    </w:p>
    <w:p w14:paraId="4F512B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lang w:eastAsia="zh-CN"/>
        </w:rPr>
        <w:t>1</w:t>
      </w:r>
      <w:r>
        <w:rPr>
          <w:rFonts w:hint="eastAsia" w:ascii="仿宋_GB2312" w:hAnsi="仿宋_GB2312" w:eastAsia="仿宋_GB2312" w:cs="仿宋_GB2312"/>
          <w:color w:val="auto"/>
          <w:kern w:val="0"/>
          <w:sz w:val="32"/>
          <w:szCs w:val="32"/>
        </w:rPr>
        <w:t>.坚决打好规范执法主动战，坚决打好改革创新攻坚战。</w:t>
      </w:r>
    </w:p>
    <w:p w14:paraId="366C1CC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lang w:eastAsia="zh-CN"/>
        </w:rPr>
        <w:t>2</w:t>
      </w:r>
      <w:r>
        <w:rPr>
          <w:rFonts w:hint="eastAsia" w:ascii="仿宋_GB2312" w:hAnsi="仿宋_GB2312" w:eastAsia="仿宋_GB2312" w:cs="仿宋_GB2312"/>
          <w:color w:val="auto"/>
          <w:kern w:val="0"/>
          <w:sz w:val="32"/>
          <w:szCs w:val="32"/>
        </w:rPr>
        <w:t>.组织侦破危害社会治安案件和刑事、经济犯罪案件。</w:t>
      </w:r>
    </w:p>
    <w:p w14:paraId="64848E5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lang w:eastAsia="zh-CN"/>
        </w:rPr>
        <w:t>3</w:t>
      </w:r>
      <w:r>
        <w:rPr>
          <w:rFonts w:hint="eastAsia" w:ascii="仿宋_GB2312" w:hAnsi="仿宋_GB2312" w:eastAsia="仿宋_GB2312" w:cs="仿宋_GB2312"/>
          <w:color w:val="auto"/>
          <w:kern w:val="0"/>
          <w:sz w:val="32"/>
          <w:szCs w:val="32"/>
        </w:rPr>
        <w:t>.配合做好各项安保工作。</w:t>
      </w:r>
    </w:p>
    <w:p w14:paraId="0FE425E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lang w:eastAsia="zh-CN"/>
        </w:rPr>
        <w:t>4</w:t>
      </w:r>
      <w:r>
        <w:rPr>
          <w:rFonts w:hint="eastAsia" w:ascii="仿宋_GB2312" w:hAnsi="仿宋_GB2312" w:eastAsia="仿宋_GB2312" w:cs="仿宋_GB2312"/>
          <w:color w:val="auto"/>
          <w:kern w:val="0"/>
          <w:sz w:val="32"/>
          <w:szCs w:val="32"/>
        </w:rPr>
        <w:t>.组织开展禁毒宣传教育工作。</w:t>
      </w:r>
    </w:p>
    <w:p w14:paraId="2842645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kern w:val="0"/>
          <w:sz w:val="32"/>
          <w:szCs w:val="32"/>
        </w:rPr>
        <w:sectPr>
          <w:footerReference r:id="rId4" w:type="default"/>
          <w:pgSz w:w="11906" w:h="16838"/>
          <w:pgMar w:top="1440" w:right="1800" w:bottom="1440" w:left="1800" w:header="0" w:footer="720" w:gutter="0"/>
          <w:pgNumType w:fmt="numberInDash"/>
          <w:cols w:space="425" w:num="1"/>
          <w:docGrid w:type="lines" w:linePitch="312" w:charSpace="0"/>
        </w:sectPr>
      </w:pPr>
      <w:r>
        <w:rPr>
          <w:rFonts w:hint="eastAsia" w:ascii="Times New Roman" w:hAnsi="Times New Roman" w:eastAsia="仿宋_GB2312" w:cs="仿宋_GB2312"/>
          <w:color w:val="auto"/>
          <w:kern w:val="0"/>
          <w:sz w:val="32"/>
          <w:szCs w:val="32"/>
          <w:lang w:val="en-US" w:eastAsia="zh-CN"/>
        </w:rPr>
        <w:t>5</w:t>
      </w:r>
      <w:r>
        <w:rPr>
          <w:rFonts w:hint="eastAsia" w:ascii="Times New Roman" w:hAnsi="Times New Roman"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规范执法流程，加强民警教育培训，提高办案质量，确保办案程序合法，执法公平公正，做好监管工作。深化公安改革创新，公平正义、廉洁高效，全面提升工作效率和整体形象。</w:t>
      </w:r>
    </w:p>
    <w:p w14:paraId="4DC6AC7D">
      <w:pPr>
        <w:keepNext w:val="0"/>
        <w:keepLines w:val="0"/>
        <w:pageBreakBefore w:val="0"/>
        <w:widowControl w:val="0"/>
        <w:kinsoku/>
        <w:wordWrap/>
        <w:overflowPunct/>
        <w:topLinePunct w:val="0"/>
        <w:autoSpaceDE/>
        <w:autoSpaceDN/>
        <w:bidi w:val="0"/>
        <w:adjustRightInd/>
        <w:snapToGrid/>
        <w:spacing w:before="0" w:after="0" w:line="560" w:lineRule="exact"/>
        <w:ind w:right="0"/>
        <w:jc w:val="center"/>
        <w:textAlignment w:val="auto"/>
        <w:outlineLvl w:val="9"/>
        <w:rPr>
          <w:rFonts w:ascii="Times New Roman" w:hAnsi="Times New Roman" w:eastAsia="Times New Roman" w:cs="Times New Roman"/>
          <w:b w:val="0"/>
          <w:bCs w:val="0"/>
          <w:color w:val="auto"/>
          <w:kern w:val="0"/>
          <w:sz w:val="44"/>
          <w:szCs w:val="44"/>
        </w:rPr>
      </w:pPr>
      <w:r>
        <w:rPr>
          <w:rFonts w:ascii="方正小标宋简体" w:hAnsi="方正小标宋简体" w:eastAsia="方正小标宋简体" w:cs="方正小标宋简体"/>
          <w:b w:val="0"/>
          <w:bCs w:val="0"/>
          <w:color w:val="auto"/>
          <w:kern w:val="0"/>
          <w:sz w:val="44"/>
          <w:szCs w:val="44"/>
        </w:rPr>
        <w:t>第二部分</w:t>
      </w:r>
      <w:r>
        <w:rPr>
          <w:rFonts w:hint="eastAsia" w:ascii="方正小标宋简体" w:hAnsi="方正小标宋简体" w:eastAsia="方正小标宋简体" w:cs="方正小标宋简体"/>
          <w:b w:val="0"/>
          <w:bCs w:val="0"/>
          <w:color w:val="auto"/>
          <w:kern w:val="0"/>
          <w:sz w:val="44"/>
          <w:szCs w:val="44"/>
          <w:lang w:val="en-US" w:eastAsia="zh-CN"/>
        </w:rPr>
        <w:t xml:space="preserve"> </w:t>
      </w:r>
      <w:r>
        <w:rPr>
          <w:rFonts w:ascii="方正小标宋简体" w:hAnsi="方正小标宋简体" w:eastAsia="方正小标宋简体" w:cs="方正小标宋简体"/>
          <w:b w:val="0"/>
          <w:bCs w:val="0"/>
          <w:color w:val="auto"/>
          <w:kern w:val="0"/>
          <w:sz w:val="44"/>
          <w:szCs w:val="44"/>
        </w:rPr>
        <w:t xml:space="preserve"> 单位决算情况说明</w:t>
      </w:r>
    </w:p>
    <w:p w14:paraId="23898C66">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ascii="黑体" w:hAnsi="黑体" w:eastAsia="黑体" w:cs="黑体"/>
          <w:b/>
          <w:bCs/>
          <w:color w:val="auto"/>
          <w:kern w:val="0"/>
          <w:sz w:val="32"/>
          <w:szCs w:val="32"/>
        </w:rPr>
      </w:pPr>
    </w:p>
    <w:p w14:paraId="3FC19C15">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ascii="Times New Roman" w:hAnsi="Times New Roman" w:eastAsia="Times New Roman" w:cs="Times New Roman"/>
          <w:color w:val="auto"/>
          <w:kern w:val="0"/>
          <w:sz w:val="32"/>
          <w:szCs w:val="32"/>
        </w:rPr>
      </w:pPr>
      <w:r>
        <w:rPr>
          <w:rFonts w:ascii="黑体" w:hAnsi="黑体" w:eastAsia="黑体" w:cs="黑体"/>
          <w:b/>
          <w:bCs/>
          <w:color w:val="auto"/>
          <w:kern w:val="0"/>
          <w:sz w:val="32"/>
          <w:szCs w:val="32"/>
        </w:rPr>
        <w:t>一、收入支出决算总体情况说明</w:t>
      </w:r>
    </w:p>
    <w:p w14:paraId="76C62656">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内蒙古大兴安岭森林公安局得耳布尔分局</w:t>
      </w:r>
      <w:r>
        <w:rPr>
          <w:rFonts w:hint="eastAsia" w:ascii="Times New Roman" w:hAnsi="Times New Roman" w:eastAsia="仿宋_GB2312" w:cs="仿宋_GB2312"/>
          <w:color w:val="auto"/>
          <w:kern w:val="0"/>
          <w:sz w:val="32"/>
          <w:szCs w:val="32"/>
          <w:lang w:eastAsia="zh-CN"/>
        </w:rPr>
        <w:t>2025</w:t>
      </w:r>
      <w:r>
        <w:rPr>
          <w:rFonts w:hint="eastAsia" w:ascii="仿宋_GB2312" w:hAnsi="仿宋_GB2312" w:eastAsia="仿宋_GB2312" w:cs="仿宋_GB2312"/>
          <w:color w:val="auto"/>
          <w:kern w:val="0"/>
          <w:sz w:val="32"/>
          <w:szCs w:val="32"/>
        </w:rPr>
        <w:t>年度收入、支出决算总计均为</w:t>
      </w:r>
      <w:r>
        <w:rPr>
          <w:rFonts w:hint="eastAsia" w:ascii="Times New Roman" w:hAnsi="Times New Roman" w:eastAsia="仿宋_GB2312" w:cs="仿宋_GB2312"/>
          <w:color w:val="auto"/>
          <w:kern w:val="0"/>
          <w:sz w:val="32"/>
          <w:szCs w:val="32"/>
          <w:u w:val="none"/>
          <w:lang w:eastAsia="zh-CN"/>
        </w:rPr>
        <w:t>1</w:t>
      </w:r>
      <w:r>
        <w:rPr>
          <w:rFonts w:hint="eastAsia" w:ascii="Times New Roman" w:hAnsi="Times New Roman"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eastAsia="zh-CN"/>
        </w:rPr>
        <w:t>824</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04</w:t>
      </w:r>
      <w:r>
        <w:rPr>
          <w:rFonts w:hint="eastAsia" w:ascii="仿宋_GB2312" w:hAnsi="仿宋_GB2312" w:eastAsia="仿宋_GB2312" w:cs="仿宋_GB2312"/>
          <w:color w:val="auto"/>
          <w:kern w:val="0"/>
          <w:sz w:val="32"/>
          <w:szCs w:val="32"/>
        </w:rPr>
        <w:t>万元。与年初预算相比，收、支总计各减少</w:t>
      </w:r>
      <w:r>
        <w:rPr>
          <w:rFonts w:hint="eastAsia" w:ascii="Times New Roman" w:hAnsi="Times New Roman" w:eastAsia="仿宋_GB2312" w:cs="仿宋_GB2312"/>
          <w:color w:val="auto"/>
          <w:kern w:val="0"/>
          <w:sz w:val="32"/>
          <w:szCs w:val="32"/>
          <w:lang w:val="en-US" w:eastAsia="zh-CN"/>
        </w:rPr>
        <w:t>1</w:t>
      </w:r>
      <w:r>
        <w:rPr>
          <w:rFonts w:hint="eastAsia" w:ascii="Times New Roman" w:hAnsi="Times New Roman" w:eastAsia="仿宋_GB2312" w:cs="仿宋_GB2312"/>
          <w:color w:val="auto"/>
          <w:kern w:val="0"/>
          <w:sz w:val="32"/>
          <w:szCs w:val="32"/>
          <w:u w:val="none"/>
          <w:lang w:val="en-US" w:eastAsia="zh-CN"/>
        </w:rPr>
        <w:t>89.04</w:t>
      </w:r>
      <w:r>
        <w:rPr>
          <w:rFonts w:hint="eastAsia" w:ascii="Times New Roman" w:hAnsi="Times New Roman" w:eastAsia="仿宋_GB2312" w:cs="仿宋_GB2312"/>
          <w:color w:val="auto"/>
          <w:kern w:val="0"/>
          <w:sz w:val="32"/>
          <w:szCs w:val="32"/>
          <w:u w:val="none"/>
          <w:lang w:eastAsia="zh-CN"/>
        </w:rPr>
        <w:t>万</w:t>
      </w:r>
      <w:r>
        <w:rPr>
          <w:rFonts w:hint="eastAsia" w:ascii="仿宋_GB2312" w:hAnsi="仿宋_GB2312" w:eastAsia="仿宋_GB2312" w:cs="仿宋_GB2312"/>
          <w:color w:val="auto"/>
          <w:kern w:val="0"/>
          <w:sz w:val="32"/>
          <w:szCs w:val="32"/>
        </w:rPr>
        <w:t>元，下降</w:t>
      </w:r>
      <w:r>
        <w:rPr>
          <w:rFonts w:hint="eastAsia" w:ascii="Times New Roman" w:hAnsi="Times New Roman" w:eastAsia="仿宋_GB2312" w:cs="仿宋_GB2312"/>
          <w:color w:val="auto"/>
          <w:kern w:val="0"/>
          <w:sz w:val="32"/>
          <w:szCs w:val="32"/>
          <w:u w:val="none"/>
          <w:lang w:val="en-US" w:eastAsia="zh-CN"/>
        </w:rPr>
        <w:t>9.39</w:t>
      </w:r>
      <w:r>
        <w:rPr>
          <w:rFonts w:hint="eastAsia" w:ascii="仿宋_GB2312" w:hAnsi="仿宋_GB2312" w:eastAsia="仿宋_GB2312" w:cs="仿宋_GB2312"/>
          <w:color w:val="auto"/>
          <w:kern w:val="0"/>
          <w:sz w:val="32"/>
          <w:szCs w:val="32"/>
          <w:lang w:eastAsia="en-US"/>
        </w:rPr>
        <w:t>%</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w:t>
      </w:r>
      <w:r>
        <w:rPr>
          <w:rFonts w:hint="eastAsia" w:ascii="Times New Roman" w:hAnsi="Times New Roman" w:eastAsia="仿宋_GB2312" w:cs="仿宋_GB2312"/>
          <w:color w:val="auto"/>
          <w:kern w:val="0"/>
          <w:sz w:val="32"/>
          <w:szCs w:val="32"/>
          <w:lang w:val="en-US" w:eastAsia="zh-CN"/>
        </w:rPr>
        <w:t>2025</w:t>
      </w:r>
      <w:r>
        <w:rPr>
          <w:rFonts w:hint="eastAsia" w:ascii="仿宋_GB2312" w:hAnsi="仿宋_GB2312" w:eastAsia="仿宋_GB2312" w:cs="仿宋_GB2312"/>
          <w:color w:val="auto"/>
          <w:kern w:val="0"/>
          <w:sz w:val="32"/>
          <w:szCs w:val="32"/>
          <w:lang w:val="en-US" w:eastAsia="zh-CN"/>
        </w:rPr>
        <w:t>年新增退休人员，各项经费支出减少</w:t>
      </w:r>
      <w:r>
        <w:rPr>
          <w:rFonts w:hint="eastAsia" w:ascii="仿宋_GB2312" w:hAnsi="仿宋_GB2312" w:eastAsia="仿宋_GB2312" w:cs="仿宋_GB2312"/>
          <w:color w:val="auto"/>
          <w:kern w:val="0"/>
          <w:sz w:val="32"/>
          <w:szCs w:val="32"/>
        </w:rPr>
        <w:t>；与上年决算相比，收、支总计各增加</w:t>
      </w:r>
      <w:r>
        <w:rPr>
          <w:rFonts w:hint="eastAsia" w:ascii="Times New Roman" w:hAnsi="Times New Roman" w:eastAsia="仿宋_GB2312" w:cs="仿宋_GB2312"/>
          <w:color w:val="auto"/>
          <w:kern w:val="0"/>
          <w:sz w:val="32"/>
          <w:szCs w:val="32"/>
          <w:lang w:val="en-US" w:eastAsia="zh-CN"/>
        </w:rPr>
        <w:t>57</w:t>
      </w:r>
      <w:r>
        <w:rPr>
          <w:rFonts w:hint="eastAsia" w:ascii="仿宋_GB2312" w:hAnsi="仿宋_GB2312" w:eastAsia="仿宋_GB2312" w:cs="仿宋_GB2312"/>
          <w:color w:val="auto"/>
          <w:kern w:val="0"/>
          <w:sz w:val="32"/>
          <w:szCs w:val="32"/>
          <w:lang w:val="en-US" w:eastAsia="zh-CN"/>
        </w:rPr>
        <w:t>.</w:t>
      </w:r>
      <w:r>
        <w:rPr>
          <w:rFonts w:hint="eastAsia" w:ascii="Times New Roman" w:hAnsi="Times New Roman" w:eastAsia="仿宋_GB2312" w:cs="仿宋_GB2312"/>
          <w:color w:val="auto"/>
          <w:kern w:val="0"/>
          <w:sz w:val="32"/>
          <w:szCs w:val="32"/>
          <w:lang w:val="en-US" w:eastAsia="zh-CN"/>
        </w:rPr>
        <w:t>64</w:t>
      </w:r>
      <w:r>
        <w:rPr>
          <w:rFonts w:hint="eastAsia" w:ascii="仿宋_GB2312" w:hAnsi="仿宋_GB2312" w:eastAsia="仿宋_GB2312" w:cs="仿宋_GB2312"/>
          <w:color w:val="auto"/>
          <w:kern w:val="0"/>
          <w:sz w:val="32"/>
          <w:szCs w:val="32"/>
        </w:rPr>
        <w:t>万元，增长</w:t>
      </w:r>
      <w:r>
        <w:rPr>
          <w:rFonts w:hint="eastAsia" w:ascii="Times New Roman" w:hAnsi="Times New Roman"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lang w:val="en-US" w:eastAsia="zh-CN"/>
        </w:rPr>
        <w:t>.</w:t>
      </w:r>
      <w:r>
        <w:rPr>
          <w:rFonts w:hint="eastAsia" w:ascii="Times New Roman" w:hAnsi="Times New Roman" w:eastAsia="仿宋_GB2312" w:cs="仿宋_GB2312"/>
          <w:color w:val="auto"/>
          <w:kern w:val="0"/>
          <w:sz w:val="32"/>
          <w:szCs w:val="32"/>
          <w:lang w:val="en-US" w:eastAsia="zh-CN"/>
        </w:rPr>
        <w:t>26</w:t>
      </w:r>
      <w:r>
        <w:rPr>
          <w:rFonts w:hint="eastAsia" w:ascii="仿宋_GB2312" w:hAnsi="仿宋_GB2312" w:eastAsia="仿宋_GB2312" w:cs="仿宋_GB2312"/>
          <w:color w:val="auto"/>
          <w:kern w:val="0"/>
          <w:sz w:val="32"/>
          <w:szCs w:val="32"/>
          <w:lang w:eastAsia="en-US"/>
        </w:rPr>
        <w:t>%</w:t>
      </w:r>
      <w:r>
        <w:rPr>
          <w:rFonts w:hint="eastAsia" w:ascii="仿宋_GB2312" w:hAnsi="仿宋_GB2312" w:eastAsia="仿宋_GB2312" w:cs="仿宋_GB2312"/>
          <w:color w:val="auto"/>
          <w:kern w:val="0"/>
          <w:sz w:val="32"/>
          <w:szCs w:val="32"/>
        </w:rPr>
        <w:t>。其中：</w:t>
      </w:r>
    </w:p>
    <w:p w14:paraId="4772F455">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（一）收入决算总计</w:t>
      </w:r>
      <w:r>
        <w:rPr>
          <w:rFonts w:hint="eastAsia" w:ascii="Times New Roman" w:hAnsi="Times New Roman" w:eastAsia="楷体_GB2312" w:cs="楷体_GB2312"/>
          <w:b/>
          <w:bCs/>
          <w:color w:val="auto"/>
          <w:kern w:val="0"/>
          <w:sz w:val="32"/>
          <w:szCs w:val="32"/>
          <w:u w:val="none"/>
          <w:lang w:eastAsia="zh-CN"/>
        </w:rPr>
        <w:t>1</w:t>
      </w:r>
      <w:r>
        <w:rPr>
          <w:rFonts w:hint="eastAsia" w:ascii="楷体_GB2312" w:hAnsi="楷体_GB2312" w:eastAsia="楷体_GB2312" w:cs="楷体_GB2312"/>
          <w:b/>
          <w:bCs/>
          <w:color w:val="auto"/>
          <w:kern w:val="0"/>
          <w:sz w:val="32"/>
          <w:szCs w:val="32"/>
          <w:u w:val="none"/>
          <w:lang w:val="en-US" w:eastAsia="zh-CN"/>
        </w:rPr>
        <w:t>,</w:t>
      </w:r>
      <w:r>
        <w:rPr>
          <w:rFonts w:hint="eastAsia" w:ascii="Times New Roman" w:hAnsi="Times New Roman" w:eastAsia="楷体_GB2312" w:cs="楷体_GB2312"/>
          <w:b/>
          <w:bCs/>
          <w:color w:val="auto"/>
          <w:kern w:val="0"/>
          <w:sz w:val="32"/>
          <w:szCs w:val="32"/>
          <w:u w:val="none"/>
          <w:lang w:eastAsia="zh-CN"/>
        </w:rPr>
        <w:t>824</w:t>
      </w:r>
      <w:r>
        <w:rPr>
          <w:rFonts w:hint="eastAsia" w:ascii="楷体_GB2312" w:hAnsi="楷体_GB2312" w:eastAsia="楷体_GB2312" w:cs="楷体_GB2312"/>
          <w:b/>
          <w:bCs/>
          <w:color w:val="auto"/>
          <w:kern w:val="0"/>
          <w:sz w:val="32"/>
          <w:szCs w:val="32"/>
          <w:u w:val="none"/>
          <w:lang w:eastAsia="en-US"/>
        </w:rPr>
        <w:t>.</w:t>
      </w:r>
      <w:r>
        <w:rPr>
          <w:rFonts w:hint="eastAsia" w:ascii="Times New Roman" w:hAnsi="Times New Roman" w:eastAsia="楷体_GB2312" w:cs="楷体_GB2312"/>
          <w:b/>
          <w:bCs/>
          <w:color w:val="auto"/>
          <w:kern w:val="0"/>
          <w:sz w:val="32"/>
          <w:szCs w:val="32"/>
          <w:u w:val="none"/>
          <w:lang w:eastAsia="zh-CN"/>
        </w:rPr>
        <w:t>04</w:t>
      </w:r>
      <w:r>
        <w:rPr>
          <w:rFonts w:hint="eastAsia" w:ascii="楷体_GB2312" w:hAnsi="楷体_GB2312" w:eastAsia="楷体_GB2312" w:cs="楷体_GB2312"/>
          <w:b/>
          <w:bCs/>
          <w:color w:val="auto"/>
          <w:kern w:val="0"/>
          <w:sz w:val="32"/>
          <w:szCs w:val="32"/>
        </w:rPr>
        <w:t>万元。包括：</w:t>
      </w:r>
    </w:p>
    <w:p w14:paraId="41776539">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color w:val="auto"/>
          <w:kern w:val="0"/>
          <w:sz w:val="32"/>
          <w:szCs w:val="32"/>
          <w:lang w:eastAsia="zh-CN"/>
        </w:rPr>
        <w:t>1</w:t>
      </w:r>
      <w:r>
        <w:rPr>
          <w:rFonts w:hint="eastAsia" w:ascii="仿宋_GB2312" w:hAnsi="仿宋_GB2312" w:eastAsia="仿宋_GB2312" w:cs="仿宋_GB2312"/>
          <w:color w:val="auto"/>
          <w:kern w:val="0"/>
          <w:sz w:val="32"/>
          <w:szCs w:val="32"/>
          <w:lang w:eastAsia="en-US"/>
        </w:rPr>
        <w:t>.</w:t>
      </w:r>
      <w:r>
        <w:rPr>
          <w:rFonts w:hint="eastAsia" w:ascii="仿宋_GB2312" w:hAnsi="仿宋_GB2312" w:eastAsia="仿宋_GB2312" w:cs="仿宋_GB2312"/>
          <w:color w:val="auto"/>
          <w:kern w:val="0"/>
          <w:sz w:val="32"/>
          <w:szCs w:val="32"/>
        </w:rPr>
        <w:t>本年收入决算合计</w:t>
      </w:r>
      <w:r>
        <w:rPr>
          <w:rFonts w:hint="eastAsia" w:ascii="Times New Roman" w:hAnsi="Times New Roman" w:eastAsia="仿宋_GB2312" w:cs="仿宋_GB2312"/>
          <w:color w:val="auto"/>
          <w:kern w:val="0"/>
          <w:sz w:val="32"/>
          <w:szCs w:val="32"/>
          <w:u w:val="none"/>
          <w:lang w:eastAsia="zh-CN"/>
        </w:rPr>
        <w:t>1</w:t>
      </w:r>
      <w:r>
        <w:rPr>
          <w:rFonts w:hint="eastAsia" w:ascii="仿宋_GB2312" w:hAnsi="仿宋_GB2312"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eastAsia="zh-CN"/>
        </w:rPr>
        <w:t>824</w:t>
      </w:r>
      <w:r>
        <w:rPr>
          <w:rFonts w:hint="eastAsia" w:ascii="仿宋_GB2312" w:hAnsi="仿宋_GB2312"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04</w:t>
      </w:r>
      <w:r>
        <w:rPr>
          <w:rFonts w:hint="eastAsia" w:ascii="仿宋_GB2312" w:hAnsi="仿宋_GB2312" w:eastAsia="仿宋_GB2312" w:cs="仿宋_GB2312"/>
          <w:color w:val="auto"/>
          <w:kern w:val="0"/>
          <w:sz w:val="32"/>
          <w:szCs w:val="32"/>
          <w:u w:val="none"/>
        </w:rPr>
        <w:t>万元。与上年决算相比，增加</w:t>
      </w:r>
      <w:r>
        <w:rPr>
          <w:rFonts w:hint="eastAsia" w:ascii="Times New Roman" w:hAnsi="Times New Roman" w:eastAsia="仿宋_GB2312" w:cs="仿宋_GB2312"/>
          <w:color w:val="auto"/>
          <w:kern w:val="0"/>
          <w:sz w:val="32"/>
          <w:szCs w:val="32"/>
          <w:u w:val="none"/>
          <w:lang w:eastAsia="zh-CN"/>
        </w:rPr>
        <w:t>57</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64</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eastAsia="zh-CN"/>
        </w:rPr>
        <w:t>3</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26</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lang w:val="en-US" w:eastAsia="zh-CN"/>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eastAsia="zh-CN"/>
        </w:rPr>
        <w:t>：</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lang w:val="en-US" w:eastAsia="zh-CN"/>
        </w:rPr>
        <w:t>年年中追加经费</w:t>
      </w:r>
      <w:r>
        <w:rPr>
          <w:rFonts w:hint="eastAsia" w:ascii="仿宋_GB2312" w:hAnsi="仿宋_GB2312" w:eastAsia="仿宋_GB2312" w:cs="仿宋_GB2312"/>
          <w:color w:val="auto"/>
          <w:kern w:val="0"/>
          <w:sz w:val="32"/>
          <w:szCs w:val="32"/>
          <w:u w:val="none"/>
        </w:rPr>
        <w:t>。</w:t>
      </w:r>
    </w:p>
    <w:p w14:paraId="61B90537">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color w:val="auto"/>
          <w:kern w:val="0"/>
          <w:sz w:val="32"/>
          <w:szCs w:val="32"/>
          <w:u w:val="none"/>
          <w:lang w:eastAsia="zh-CN"/>
        </w:rPr>
        <w:t>2</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使用非财政拨款结余（含专用结余）</w:t>
      </w:r>
      <w:r>
        <w:rPr>
          <w:rFonts w:hint="eastAsia" w:ascii="Times New Roman" w:hAnsi="Times New Roman" w:eastAsia="仿宋_GB2312" w:cs="仿宋_GB2312"/>
          <w:color w:val="auto"/>
          <w:kern w:val="0"/>
          <w:sz w:val="32"/>
          <w:szCs w:val="32"/>
          <w:u w:val="none"/>
          <w:lang w:eastAsia="zh-CN"/>
        </w:rPr>
        <w:t>0</w:t>
      </w:r>
      <w:r>
        <w:rPr>
          <w:rFonts w:hint="eastAsia" w:ascii="仿宋_GB2312" w:hAnsi="仿宋_GB2312"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万元。与上年决算相比，增加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w:t>
      </w:r>
      <w:r>
        <w:rPr>
          <w:rFonts w:hint="eastAsia" w:ascii="仿宋_GB2312" w:hAnsi="仿宋_GB2312" w:eastAsia="仿宋_GB2312" w:cs="仿宋_GB2312"/>
          <w:color w:val="auto"/>
          <w:kern w:val="0"/>
          <w:sz w:val="32"/>
          <w:szCs w:val="32"/>
          <w:u w:val="none"/>
          <w:lang w:val="en-US" w:eastAsia="zh-CN"/>
        </w:rPr>
        <w:t>原</w:t>
      </w:r>
      <w:r>
        <w:rPr>
          <w:rFonts w:hint="eastAsia" w:ascii="仿宋_GB2312" w:hAnsi="仿宋_GB2312" w:eastAsia="仿宋_GB2312" w:cs="仿宋_GB2312"/>
          <w:color w:val="auto"/>
          <w:kern w:val="0"/>
          <w:sz w:val="32"/>
          <w:szCs w:val="32"/>
          <w:u w:val="none"/>
        </w:rPr>
        <w:t>因</w:t>
      </w:r>
      <w:r>
        <w:rPr>
          <w:rFonts w:hint="eastAsia" w:ascii="仿宋_GB2312" w:hAnsi="仿宋_GB2312" w:eastAsia="仿宋_GB2312" w:cs="仿宋_GB2312"/>
          <w:color w:val="auto"/>
          <w:kern w:val="0"/>
          <w:sz w:val="32"/>
          <w:szCs w:val="32"/>
          <w:u w:val="none"/>
          <w:lang w:eastAsia="zh-CN"/>
        </w:rPr>
        <w:t>：</w:t>
      </w:r>
      <w:r>
        <w:rPr>
          <w:rFonts w:hint="eastAsia" w:ascii="仿宋_GB2312" w:hAnsi="仿宋_GB2312" w:eastAsia="仿宋_GB2312" w:cs="仿宋_GB2312"/>
          <w:color w:val="auto"/>
          <w:kern w:val="0"/>
          <w:sz w:val="32"/>
          <w:szCs w:val="32"/>
          <w:u w:val="none"/>
          <w:lang w:val="en-US" w:eastAsia="zh-CN"/>
        </w:rPr>
        <w:t>我单位不存在此项内容</w:t>
      </w:r>
      <w:r>
        <w:rPr>
          <w:rFonts w:hint="eastAsia" w:ascii="仿宋_GB2312" w:hAnsi="仿宋_GB2312" w:eastAsia="仿宋_GB2312" w:cs="仿宋_GB2312"/>
          <w:color w:val="auto"/>
          <w:kern w:val="0"/>
          <w:sz w:val="32"/>
          <w:szCs w:val="32"/>
          <w:u w:val="none"/>
        </w:rPr>
        <w:t>。</w:t>
      </w:r>
    </w:p>
    <w:p w14:paraId="240DAE10">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u w:val="none"/>
          <w:lang w:eastAsia="zh-CN"/>
        </w:rPr>
        <w:t>3</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年初结转和结余</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万元。与上年决算相比，增加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eastAsia="zh-CN"/>
        </w:rPr>
        <w:t>0</w:t>
      </w:r>
      <w:r>
        <w:rPr>
          <w:rFonts w:hint="eastAsia" w:ascii="仿宋_GB2312" w:hAnsi="仿宋_GB2312"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val="en-US" w:eastAsia="zh-CN"/>
        </w:rPr>
        <w:t>本年度无年初结转和结余</w:t>
      </w:r>
      <w:r>
        <w:rPr>
          <w:rFonts w:hint="eastAsia" w:ascii="仿宋_GB2312" w:hAnsi="仿宋_GB2312" w:eastAsia="仿宋_GB2312" w:cs="仿宋_GB2312"/>
          <w:color w:val="auto"/>
          <w:kern w:val="0"/>
          <w:sz w:val="32"/>
          <w:szCs w:val="32"/>
        </w:rPr>
        <w:t>。</w:t>
      </w:r>
    </w:p>
    <w:p w14:paraId="346810A9">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u w:val="none"/>
        </w:rPr>
      </w:pPr>
      <w:r>
        <w:rPr>
          <w:rFonts w:hint="eastAsia" w:ascii="楷体_GB2312" w:hAnsi="楷体_GB2312" w:eastAsia="楷体_GB2312" w:cs="楷体_GB2312"/>
          <w:b/>
          <w:bCs/>
          <w:color w:val="auto"/>
          <w:kern w:val="0"/>
          <w:sz w:val="32"/>
          <w:szCs w:val="32"/>
          <w:u w:val="none"/>
        </w:rPr>
        <w:t>（二）支出决算总计</w:t>
      </w:r>
      <w:r>
        <w:rPr>
          <w:rFonts w:hint="eastAsia" w:ascii="Times New Roman" w:hAnsi="Times New Roman" w:eastAsia="楷体_GB2312" w:cs="楷体_GB2312"/>
          <w:b/>
          <w:bCs/>
          <w:color w:val="auto"/>
          <w:kern w:val="0"/>
          <w:sz w:val="32"/>
          <w:szCs w:val="32"/>
          <w:u w:val="none"/>
          <w:lang w:eastAsia="zh-CN"/>
        </w:rPr>
        <w:t>1</w:t>
      </w:r>
      <w:r>
        <w:rPr>
          <w:rFonts w:hint="eastAsia" w:ascii="楷体_GB2312" w:hAnsi="楷体_GB2312" w:eastAsia="楷体_GB2312" w:cs="楷体_GB2312"/>
          <w:b/>
          <w:bCs/>
          <w:color w:val="auto"/>
          <w:kern w:val="0"/>
          <w:sz w:val="32"/>
          <w:szCs w:val="32"/>
          <w:u w:val="none"/>
          <w:lang w:val="en-US" w:eastAsia="zh-CN"/>
        </w:rPr>
        <w:t>,</w:t>
      </w:r>
      <w:r>
        <w:rPr>
          <w:rFonts w:hint="eastAsia" w:ascii="Times New Roman" w:hAnsi="Times New Roman" w:eastAsia="楷体_GB2312" w:cs="楷体_GB2312"/>
          <w:b/>
          <w:bCs/>
          <w:color w:val="auto"/>
          <w:kern w:val="0"/>
          <w:sz w:val="32"/>
          <w:szCs w:val="32"/>
          <w:u w:val="none"/>
          <w:lang w:eastAsia="zh-CN"/>
        </w:rPr>
        <w:t>824</w:t>
      </w:r>
      <w:r>
        <w:rPr>
          <w:rFonts w:hint="eastAsia" w:ascii="楷体_GB2312" w:hAnsi="楷体_GB2312" w:eastAsia="楷体_GB2312" w:cs="楷体_GB2312"/>
          <w:b/>
          <w:bCs/>
          <w:color w:val="auto"/>
          <w:kern w:val="0"/>
          <w:sz w:val="32"/>
          <w:szCs w:val="32"/>
          <w:u w:val="none"/>
          <w:lang w:eastAsia="en-US"/>
        </w:rPr>
        <w:t>.</w:t>
      </w:r>
      <w:r>
        <w:rPr>
          <w:rFonts w:hint="eastAsia" w:ascii="Times New Roman" w:hAnsi="Times New Roman" w:eastAsia="楷体_GB2312" w:cs="楷体_GB2312"/>
          <w:b/>
          <w:bCs/>
          <w:color w:val="auto"/>
          <w:kern w:val="0"/>
          <w:sz w:val="32"/>
          <w:szCs w:val="32"/>
          <w:u w:val="none"/>
          <w:lang w:eastAsia="zh-CN"/>
        </w:rPr>
        <w:t>04</w:t>
      </w:r>
      <w:r>
        <w:rPr>
          <w:rFonts w:hint="eastAsia" w:ascii="楷体_GB2312" w:hAnsi="楷体_GB2312" w:eastAsia="楷体_GB2312" w:cs="楷体_GB2312"/>
          <w:b/>
          <w:bCs/>
          <w:color w:val="auto"/>
          <w:kern w:val="0"/>
          <w:sz w:val="32"/>
          <w:szCs w:val="32"/>
          <w:u w:val="none"/>
        </w:rPr>
        <w:t>万元。包括：</w:t>
      </w:r>
    </w:p>
    <w:p w14:paraId="0DC0EF9B">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color w:val="auto"/>
          <w:kern w:val="0"/>
          <w:sz w:val="32"/>
          <w:szCs w:val="32"/>
          <w:u w:val="none"/>
          <w:lang w:eastAsia="zh-CN"/>
        </w:rPr>
        <w:t>1</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本年支出决算合计</w:t>
      </w:r>
      <w:r>
        <w:rPr>
          <w:rFonts w:hint="eastAsia" w:ascii="Times New Roman" w:hAnsi="Times New Roman" w:eastAsia="仿宋_GB2312" w:cs="仿宋_GB2312"/>
          <w:color w:val="auto"/>
          <w:kern w:val="0"/>
          <w:sz w:val="32"/>
          <w:szCs w:val="32"/>
          <w:u w:val="none"/>
          <w:lang w:eastAsia="zh-CN"/>
        </w:rPr>
        <w:t>1</w:t>
      </w:r>
      <w:r>
        <w:rPr>
          <w:rFonts w:hint="eastAsia" w:ascii="仿宋_GB2312" w:hAnsi="仿宋_GB2312"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eastAsia="zh-CN"/>
        </w:rPr>
        <w:t>824</w:t>
      </w:r>
      <w:r>
        <w:rPr>
          <w:rFonts w:hint="eastAsia" w:ascii="仿宋_GB2312" w:hAnsi="仿宋_GB2312"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04</w:t>
      </w:r>
      <w:r>
        <w:rPr>
          <w:rFonts w:hint="eastAsia" w:ascii="仿宋_GB2312" w:hAnsi="仿宋_GB2312" w:eastAsia="仿宋_GB2312" w:cs="仿宋_GB2312"/>
          <w:color w:val="auto"/>
          <w:kern w:val="0"/>
          <w:sz w:val="32"/>
          <w:szCs w:val="32"/>
          <w:u w:val="none"/>
        </w:rPr>
        <w:t>万元。与上年决算相比，增加</w:t>
      </w:r>
      <w:r>
        <w:rPr>
          <w:rFonts w:hint="eastAsia" w:ascii="Times New Roman" w:hAnsi="Times New Roman" w:eastAsia="仿宋_GB2312" w:cs="仿宋_GB2312"/>
          <w:color w:val="auto"/>
          <w:kern w:val="0"/>
          <w:sz w:val="32"/>
          <w:szCs w:val="32"/>
          <w:u w:val="none"/>
          <w:lang w:eastAsia="zh-CN"/>
        </w:rPr>
        <w:t>57</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64</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eastAsia="zh-CN"/>
        </w:rPr>
        <w:t>3</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26</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eastAsia="zh-CN"/>
        </w:rPr>
        <w:t>：</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lang w:val="en-US" w:eastAsia="zh-CN"/>
        </w:rPr>
        <w:t>年年中追加经费</w:t>
      </w:r>
      <w:r>
        <w:rPr>
          <w:rFonts w:hint="eastAsia" w:ascii="仿宋_GB2312" w:hAnsi="仿宋_GB2312" w:eastAsia="仿宋_GB2312" w:cs="仿宋_GB2312"/>
          <w:color w:val="auto"/>
          <w:kern w:val="0"/>
          <w:sz w:val="32"/>
          <w:szCs w:val="32"/>
          <w:u w:val="none"/>
        </w:rPr>
        <w:t>。</w:t>
      </w:r>
    </w:p>
    <w:p w14:paraId="0E93BF4D">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color w:val="auto"/>
          <w:kern w:val="0"/>
          <w:sz w:val="32"/>
          <w:szCs w:val="32"/>
          <w:u w:val="none"/>
          <w:lang w:eastAsia="zh-CN"/>
        </w:rPr>
        <w:t>2</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结余分配</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万元。结余分配事项</w:t>
      </w:r>
      <w:r>
        <w:rPr>
          <w:rFonts w:hint="eastAsia" w:ascii="仿宋_GB2312" w:hAnsi="仿宋_GB2312" w:eastAsia="仿宋_GB2312" w:cs="仿宋_GB2312"/>
          <w:color w:val="auto"/>
          <w:kern w:val="0"/>
          <w:sz w:val="32"/>
          <w:szCs w:val="32"/>
          <w:u w:val="none"/>
          <w:lang w:eastAsia="zh-CN"/>
        </w:rPr>
        <w:t>：</w:t>
      </w:r>
      <w:r>
        <w:rPr>
          <w:rFonts w:hint="eastAsia" w:ascii="仿宋_GB2312" w:hAnsi="仿宋_GB2312" w:eastAsia="仿宋_GB2312" w:cs="仿宋_GB2312"/>
          <w:color w:val="auto"/>
          <w:kern w:val="0"/>
          <w:sz w:val="32"/>
          <w:szCs w:val="32"/>
        </w:rPr>
        <w:t>我单位</w:t>
      </w:r>
      <w:r>
        <w:rPr>
          <w:rFonts w:hint="eastAsia" w:ascii="Times New Roman" w:hAnsi="Times New Roman" w:eastAsia="仿宋_GB2312" w:cs="仿宋_GB2312"/>
          <w:color w:val="auto"/>
          <w:kern w:val="0"/>
          <w:sz w:val="32"/>
          <w:szCs w:val="32"/>
          <w:lang w:eastAsia="zh-CN"/>
        </w:rPr>
        <w:t>202</w:t>
      </w:r>
      <w:r>
        <w:rPr>
          <w:rFonts w:hint="eastAsia" w:ascii="Times New Roman" w:hAnsi="Times New Roman"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年度无结余分配</w:t>
      </w:r>
      <w:r>
        <w:rPr>
          <w:rFonts w:hint="eastAsia" w:ascii="仿宋_GB2312" w:hAnsi="仿宋_GB2312" w:eastAsia="仿宋_GB2312" w:cs="仿宋_GB2312"/>
          <w:color w:val="auto"/>
          <w:kern w:val="0"/>
          <w:sz w:val="32"/>
          <w:szCs w:val="32"/>
          <w:u w:val="none"/>
        </w:rPr>
        <w:t>。与上年决算相比，增加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val="en-US" w:eastAsia="zh-CN"/>
        </w:rPr>
        <w:t>我单位不存在此项内容</w:t>
      </w:r>
      <w:r>
        <w:rPr>
          <w:rFonts w:hint="eastAsia" w:ascii="仿宋_GB2312" w:hAnsi="仿宋_GB2312" w:eastAsia="仿宋_GB2312" w:cs="仿宋_GB2312"/>
          <w:color w:val="auto"/>
          <w:kern w:val="0"/>
          <w:sz w:val="32"/>
          <w:szCs w:val="32"/>
          <w:u w:val="none"/>
        </w:rPr>
        <w:t>。</w:t>
      </w:r>
    </w:p>
    <w:p w14:paraId="2A8B1459">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color w:val="auto"/>
          <w:kern w:val="0"/>
          <w:sz w:val="32"/>
          <w:szCs w:val="32"/>
          <w:u w:val="none"/>
          <w:lang w:eastAsia="zh-CN"/>
        </w:rPr>
        <w:t>3</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年末结转和结余</w:t>
      </w:r>
      <w:r>
        <w:rPr>
          <w:rFonts w:hint="eastAsia" w:ascii="Times New Roman" w:hAnsi="Times New Roman" w:eastAsia="仿宋_GB2312" w:cs="仿宋_GB2312"/>
          <w:color w:val="auto"/>
          <w:kern w:val="0"/>
          <w:sz w:val="32"/>
          <w:szCs w:val="32"/>
          <w:u w:val="none"/>
          <w:lang w:eastAsia="zh-CN"/>
        </w:rPr>
        <w:t>0</w:t>
      </w:r>
      <w:r>
        <w:rPr>
          <w:rFonts w:hint="eastAsia" w:ascii="仿宋_GB2312" w:hAnsi="仿宋_GB2312"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万元。结转和结余事项：</w:t>
      </w:r>
      <w:r>
        <w:rPr>
          <w:rFonts w:hint="eastAsia" w:ascii="仿宋_GB2312" w:hAnsi="仿宋_GB2312" w:eastAsia="仿宋_GB2312" w:cs="仿宋_GB2312"/>
          <w:color w:val="auto"/>
          <w:kern w:val="0"/>
          <w:sz w:val="32"/>
          <w:szCs w:val="32"/>
          <w:u w:val="none"/>
          <w:lang w:val="en-US" w:eastAsia="zh-CN"/>
        </w:rPr>
        <w:t>我单位</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lang w:val="en-US" w:eastAsia="zh-CN"/>
        </w:rPr>
        <w:t>年度无结转和结余事项</w:t>
      </w:r>
      <w:r>
        <w:rPr>
          <w:rFonts w:hint="eastAsia" w:ascii="仿宋_GB2312" w:hAnsi="仿宋_GB2312" w:eastAsia="仿宋_GB2312" w:cs="仿宋_GB2312"/>
          <w:color w:val="auto"/>
          <w:kern w:val="0"/>
          <w:sz w:val="32"/>
          <w:szCs w:val="32"/>
          <w:u w:val="none"/>
        </w:rPr>
        <w:t>。与上年决算相比，增加</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lang w:val="en-US" w:eastAsia="zh-CN"/>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val="en-US" w:eastAsia="zh-CN"/>
        </w:rPr>
        <w:t>本年度无年末结转和结余</w:t>
      </w:r>
      <w:r>
        <w:rPr>
          <w:rFonts w:hint="eastAsia" w:ascii="仿宋_GB2312" w:hAnsi="仿宋_GB2312" w:eastAsia="仿宋_GB2312" w:cs="仿宋_GB2312"/>
          <w:color w:val="auto"/>
          <w:kern w:val="0"/>
          <w:sz w:val="32"/>
          <w:szCs w:val="32"/>
          <w:u w:val="none"/>
        </w:rPr>
        <w:t>。</w:t>
      </w:r>
    </w:p>
    <w:p w14:paraId="0922045C">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Times New Roman" w:hAnsi="Times New Roman" w:eastAsia="Times New Roman" w:cs="Times New Roman"/>
          <w:b w:val="0"/>
          <w:bCs w:val="0"/>
          <w:color w:val="auto"/>
          <w:kern w:val="0"/>
          <w:sz w:val="32"/>
          <w:szCs w:val="32"/>
        </w:rPr>
      </w:pPr>
      <w:r>
        <w:rPr>
          <w:rFonts w:ascii="黑体" w:hAnsi="黑体" w:eastAsia="黑体" w:cs="黑体"/>
          <w:b w:val="0"/>
          <w:bCs w:val="0"/>
          <w:color w:val="auto"/>
          <w:kern w:val="0"/>
          <w:sz w:val="32"/>
          <w:szCs w:val="32"/>
        </w:rPr>
        <w:t>二、收入决算情况说明</w:t>
      </w:r>
    </w:p>
    <w:p w14:paraId="23E7B2E8">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eastAsia="zh-CN"/>
        </w:rPr>
        <w:t>2025</w:t>
      </w:r>
      <w:r>
        <w:rPr>
          <w:rFonts w:hint="eastAsia" w:ascii="仿宋_GB2312" w:hAnsi="仿宋_GB2312" w:eastAsia="仿宋_GB2312" w:cs="仿宋_GB2312"/>
          <w:color w:val="auto"/>
          <w:kern w:val="0"/>
          <w:sz w:val="32"/>
          <w:szCs w:val="32"/>
          <w:u w:val="none"/>
        </w:rPr>
        <w:t>年度本年收入决算合计</w:t>
      </w:r>
      <w:r>
        <w:rPr>
          <w:rFonts w:hint="eastAsia" w:ascii="Times New Roman" w:hAnsi="Times New Roman" w:eastAsia="仿宋_GB2312" w:cs="仿宋_GB2312"/>
          <w:color w:val="auto"/>
          <w:kern w:val="0"/>
          <w:sz w:val="32"/>
          <w:szCs w:val="32"/>
          <w:u w:val="none"/>
          <w:lang w:eastAsia="zh-CN"/>
        </w:rPr>
        <w:t>1</w:t>
      </w:r>
      <w:r>
        <w:rPr>
          <w:rFonts w:hint="eastAsia" w:ascii="仿宋_GB2312" w:hAnsi="仿宋_GB2312"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eastAsia="zh-CN"/>
        </w:rPr>
        <w:t>824</w:t>
      </w:r>
      <w:r>
        <w:rPr>
          <w:rFonts w:hint="eastAsia" w:ascii="仿宋_GB2312" w:hAnsi="仿宋_GB2312"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04</w:t>
      </w:r>
      <w:r>
        <w:rPr>
          <w:rFonts w:hint="eastAsia" w:ascii="仿宋_GB2312" w:hAnsi="仿宋_GB2312" w:eastAsia="仿宋_GB2312" w:cs="仿宋_GB2312"/>
          <w:color w:val="auto"/>
          <w:kern w:val="0"/>
          <w:sz w:val="32"/>
          <w:szCs w:val="32"/>
          <w:u w:val="none"/>
        </w:rPr>
        <w:t>万元，其中：</w:t>
      </w:r>
    </w:p>
    <w:p w14:paraId="4BA45655">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一般公共预算财政拨款收入</w:t>
      </w:r>
      <w:r>
        <w:rPr>
          <w:rFonts w:hint="eastAsia" w:ascii="Times New Roman" w:hAnsi="Times New Roman" w:eastAsia="仿宋_GB2312" w:cs="仿宋_GB2312"/>
          <w:color w:val="auto"/>
          <w:kern w:val="0"/>
          <w:sz w:val="32"/>
          <w:szCs w:val="32"/>
          <w:u w:val="none"/>
          <w:lang w:eastAsia="zh-CN"/>
        </w:rPr>
        <w:t>1</w:t>
      </w:r>
      <w:r>
        <w:rPr>
          <w:rFonts w:hint="eastAsia" w:ascii="仿宋_GB2312" w:hAnsi="仿宋_GB2312"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eastAsia="zh-CN"/>
        </w:rPr>
        <w:t>824</w:t>
      </w:r>
      <w:r>
        <w:rPr>
          <w:rFonts w:hint="eastAsia" w:ascii="仿宋_GB2312" w:hAnsi="仿宋_GB2312"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04</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100</w:t>
      </w:r>
      <w:r>
        <w:rPr>
          <w:rFonts w:hint="eastAsia" w:ascii="仿宋_GB2312" w:hAnsi="仿宋_GB2312"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5DF16E89">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政府性基金预算财政拨款收入</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5D73C59A">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国有资本经营预算财政拨款收入</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37223697">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上级补助收入</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03392D6A">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Times New Roman" w:hAnsi="Times New Roman" w:eastAsia="Times New Roman" w:cs="Times New Roman"/>
          <w:color w:val="auto"/>
          <w:kern w:val="0"/>
          <w:sz w:val="24"/>
          <w:u w:val="none"/>
        </w:rPr>
      </w:pPr>
      <w:r>
        <w:rPr>
          <w:rFonts w:hint="eastAsia" w:ascii="仿宋_GB2312" w:hAnsi="仿宋_GB2312" w:eastAsia="仿宋_GB2312" w:cs="仿宋_GB2312"/>
          <w:color w:val="auto"/>
          <w:kern w:val="0"/>
          <w:sz w:val="32"/>
          <w:szCs w:val="32"/>
          <w:u w:val="none"/>
        </w:rPr>
        <w:t>事业收入</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6F86974C">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经营收入</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2942C729">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附属单位上缴收入</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6068CADF">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u w:val="none"/>
        </w:rPr>
        <w:t>其他收入</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055F54DF">
      <w:pPr>
        <w:keepNext w:val="0"/>
        <w:keepLines w:val="0"/>
        <w:pageBreakBefore w:val="0"/>
        <w:widowControl w:val="0"/>
        <w:kinsoku/>
        <w:wordWrap/>
        <w:overflowPunct/>
        <w:topLinePunct w:val="0"/>
        <w:autoSpaceDE/>
        <w:autoSpaceDN/>
        <w:bidi w:val="0"/>
        <w:spacing w:before="240" w:after="240"/>
        <w:jc w:val="center"/>
        <w:textAlignment w:val="auto"/>
        <w:rPr>
          <w:rFonts w:ascii="Times New Roman" w:hAnsi="Times New Roman" w:eastAsia="Times New Roman" w:cs="Times New Roman"/>
          <w:color w:val="auto"/>
          <w:kern w:val="0"/>
          <w:sz w:val="24"/>
        </w:rPr>
      </w:pPr>
      <w:r>
        <w:rPr>
          <w:rFonts w:ascii="Times New Roman" w:hAnsi="Times New Roman" w:eastAsia="Times New Roman" w:cs="Times New Roman"/>
          <w:strike w:val="0"/>
          <w:color w:val="auto"/>
          <w:kern w:val="0"/>
          <w:sz w:val="24"/>
          <w:u w:val="none"/>
        </w:rPr>
        <w:drawing>
          <wp:inline distT="0" distB="0" distL="114300" distR="114300">
            <wp:extent cx="5200650" cy="3376295"/>
            <wp:effectExtent l="0" t="0" r="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00650" cy="3376295"/>
                    </a:xfrm>
                    <a:prstGeom prst="rect">
                      <a:avLst/>
                    </a:prstGeom>
                    <a:noFill/>
                    <a:ln>
                      <a:noFill/>
                    </a:ln>
                  </pic:spPr>
                </pic:pic>
              </a:graphicData>
            </a:graphic>
          </wp:inline>
        </w:drawing>
      </w:r>
    </w:p>
    <w:p w14:paraId="40D605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图</w:t>
      </w:r>
      <w:r>
        <w:rPr>
          <w:rFonts w:hint="eastAsia" w:ascii="Times New Roman" w:hAnsi="Times New Roman" w:eastAsia="仿宋_GB2312" w:cs="仿宋_GB2312"/>
          <w:color w:val="auto"/>
          <w:kern w:val="0"/>
          <w:sz w:val="32"/>
          <w:szCs w:val="32"/>
          <w:lang w:eastAsia="zh-CN"/>
        </w:rPr>
        <w:t>1</w:t>
      </w:r>
      <w:r>
        <w:rPr>
          <w:rFonts w:hint="eastAsia" w:ascii="仿宋_GB2312" w:hAnsi="仿宋_GB2312" w:eastAsia="仿宋_GB2312" w:cs="仿宋_GB2312"/>
          <w:color w:val="auto"/>
          <w:kern w:val="0"/>
          <w:sz w:val="32"/>
          <w:szCs w:val="32"/>
        </w:rPr>
        <w:t>.收入决算图</w:t>
      </w:r>
    </w:p>
    <w:p w14:paraId="42A0ACD9">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Times New Roman" w:cs="Times New Roman"/>
          <w:b w:val="0"/>
          <w:bCs w:val="0"/>
          <w:color w:val="auto"/>
          <w:kern w:val="0"/>
          <w:sz w:val="32"/>
          <w:szCs w:val="32"/>
        </w:rPr>
      </w:pPr>
      <w:r>
        <w:rPr>
          <w:rFonts w:ascii="黑体" w:hAnsi="黑体" w:eastAsia="黑体" w:cs="黑体"/>
          <w:b w:val="0"/>
          <w:bCs w:val="0"/>
          <w:color w:val="auto"/>
          <w:kern w:val="0"/>
          <w:sz w:val="32"/>
          <w:szCs w:val="32"/>
        </w:rPr>
        <w:t>三、支出决算情况说明</w:t>
      </w:r>
    </w:p>
    <w:p w14:paraId="673C426A">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eastAsia="zh-CN"/>
        </w:rPr>
        <w:t>2025</w:t>
      </w:r>
      <w:r>
        <w:rPr>
          <w:rFonts w:hint="eastAsia" w:ascii="仿宋_GB2312" w:hAnsi="仿宋_GB2312" w:eastAsia="仿宋_GB2312" w:cs="仿宋_GB2312"/>
          <w:color w:val="auto"/>
          <w:kern w:val="0"/>
          <w:sz w:val="32"/>
          <w:szCs w:val="32"/>
          <w:u w:val="none"/>
        </w:rPr>
        <w:t>年度本年支出决算合计</w:t>
      </w:r>
      <w:r>
        <w:rPr>
          <w:rFonts w:hint="eastAsia" w:ascii="Times New Roman" w:hAnsi="Times New Roman" w:eastAsia="仿宋_GB2312" w:cs="仿宋_GB2312"/>
          <w:color w:val="auto"/>
          <w:kern w:val="0"/>
          <w:sz w:val="32"/>
          <w:szCs w:val="32"/>
          <w:u w:val="none"/>
          <w:lang w:eastAsia="zh-CN"/>
        </w:rPr>
        <w:t>1</w:t>
      </w:r>
      <w:r>
        <w:rPr>
          <w:rFonts w:hint="eastAsia" w:ascii="Times New Roman" w:hAnsi="Times New Roman"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eastAsia="zh-CN"/>
        </w:rPr>
        <w:t>824</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04</w:t>
      </w:r>
      <w:r>
        <w:rPr>
          <w:rFonts w:hint="eastAsia" w:ascii="仿宋_GB2312" w:hAnsi="仿宋_GB2312" w:eastAsia="仿宋_GB2312" w:cs="仿宋_GB2312"/>
          <w:color w:val="auto"/>
          <w:kern w:val="0"/>
          <w:sz w:val="32"/>
          <w:szCs w:val="32"/>
          <w:u w:val="none"/>
        </w:rPr>
        <w:t>万元，其中：</w:t>
      </w:r>
    </w:p>
    <w:p w14:paraId="455EDEC4">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基本支出</w:t>
      </w:r>
      <w:r>
        <w:rPr>
          <w:rFonts w:hint="eastAsia" w:ascii="Times New Roman" w:hAnsi="Times New Roman" w:eastAsia="仿宋_GB2312" w:cs="仿宋_GB2312"/>
          <w:color w:val="auto"/>
          <w:kern w:val="0"/>
          <w:sz w:val="32"/>
          <w:szCs w:val="32"/>
          <w:u w:val="none"/>
          <w:lang w:eastAsia="zh-CN"/>
        </w:rPr>
        <w:t>1</w:t>
      </w:r>
      <w:r>
        <w:rPr>
          <w:rFonts w:hint="eastAsia" w:ascii="Times New Roman" w:hAnsi="Times New Roman"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eastAsia="zh-CN"/>
        </w:rPr>
        <w:t>754</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04</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96</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16</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761EB99E">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项目支出</w:t>
      </w:r>
      <w:r>
        <w:rPr>
          <w:rFonts w:hint="eastAsia" w:ascii="Times New Roman" w:hAnsi="Times New Roman" w:eastAsia="仿宋_GB2312" w:cs="仿宋_GB2312"/>
          <w:color w:val="auto"/>
          <w:kern w:val="0"/>
          <w:sz w:val="32"/>
          <w:szCs w:val="32"/>
          <w:u w:val="none"/>
          <w:lang w:eastAsia="zh-CN"/>
        </w:rPr>
        <w:t>70</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3</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84</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38A628B5">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上缴上级支出</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6BD9EBD7">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经营支出</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60B79085">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对附属单位补助支出</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eastAsia="zh-CN"/>
        </w:rPr>
        <w:t>0</w:t>
      </w:r>
      <w:r>
        <w:rPr>
          <w:rFonts w:hint="eastAsia" w:ascii="Times New Roman" w:hAnsi="Times New Roman" w:eastAsia="仿宋_GB2312" w:cs="仿宋_GB2312"/>
          <w:color w:val="auto"/>
          <w:kern w:val="0"/>
          <w:sz w:val="32"/>
          <w:szCs w:val="32"/>
          <w:u w:val="none"/>
          <w:lang w:val="en-US" w:eastAsia="zh-CN"/>
        </w:rPr>
        <w:t>.00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440713E3">
      <w:pPr>
        <w:keepNext w:val="0"/>
        <w:keepLines w:val="0"/>
        <w:pageBreakBefore w:val="0"/>
        <w:widowControl w:val="0"/>
        <w:kinsoku/>
        <w:wordWrap/>
        <w:overflowPunct/>
        <w:topLinePunct w:val="0"/>
        <w:autoSpaceDE/>
        <w:autoSpaceDN/>
        <w:bidi w:val="0"/>
        <w:spacing w:before="240" w:after="240"/>
        <w:jc w:val="center"/>
        <w:textAlignment w:val="auto"/>
        <w:rPr>
          <w:rFonts w:ascii="Times New Roman" w:hAnsi="Times New Roman" w:eastAsia="Times New Roman" w:cs="Times New Roman"/>
          <w:color w:val="auto"/>
          <w:kern w:val="0"/>
          <w:sz w:val="24"/>
        </w:rPr>
      </w:pPr>
      <w:r>
        <w:drawing>
          <wp:inline distT="0" distB="0" distL="114300" distR="114300">
            <wp:extent cx="5243195" cy="2599055"/>
            <wp:effectExtent l="4445" t="4445" r="10160" b="6350"/>
            <wp:docPr id="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5B30F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图</w:t>
      </w:r>
      <w:r>
        <w:rPr>
          <w:rFonts w:hint="eastAsia" w:ascii="Times New Roman" w:hAnsi="Times New Roman" w:eastAsia="仿宋_GB2312" w:cs="仿宋_GB2312"/>
          <w:color w:val="auto"/>
          <w:kern w:val="0"/>
          <w:sz w:val="32"/>
          <w:szCs w:val="32"/>
          <w:lang w:eastAsia="zh-CN"/>
        </w:rPr>
        <w:t>2</w:t>
      </w:r>
      <w:r>
        <w:rPr>
          <w:rFonts w:hint="eastAsia" w:ascii="仿宋_GB2312" w:hAnsi="仿宋_GB2312" w:eastAsia="仿宋_GB2312" w:cs="仿宋_GB2312"/>
          <w:color w:val="auto"/>
          <w:kern w:val="0"/>
          <w:sz w:val="32"/>
          <w:szCs w:val="32"/>
        </w:rPr>
        <w:t>.支出决算图</w:t>
      </w:r>
    </w:p>
    <w:p w14:paraId="79303080">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Times New Roman" w:cs="Times New Roman"/>
          <w:b w:val="0"/>
          <w:bCs w:val="0"/>
          <w:color w:val="auto"/>
          <w:kern w:val="0"/>
          <w:sz w:val="32"/>
          <w:szCs w:val="32"/>
        </w:rPr>
      </w:pPr>
      <w:r>
        <w:rPr>
          <w:rFonts w:ascii="黑体" w:hAnsi="黑体" w:eastAsia="黑体" w:cs="黑体"/>
          <w:b w:val="0"/>
          <w:bCs w:val="0"/>
          <w:color w:val="auto"/>
          <w:kern w:val="0"/>
          <w:sz w:val="32"/>
          <w:szCs w:val="32"/>
        </w:rPr>
        <w:t>四、财政拨款收入支出决算总体情况说明</w:t>
      </w:r>
    </w:p>
    <w:p w14:paraId="5B89D736">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u w:val="none"/>
          <w:lang w:val="en-US" w:eastAsia="zh-CN"/>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eastAsia="zh-CN"/>
        </w:rPr>
        <w:t>2025</w:t>
      </w:r>
      <w:r>
        <w:rPr>
          <w:rFonts w:hint="eastAsia" w:ascii="仿宋_GB2312" w:hAnsi="仿宋_GB2312" w:eastAsia="仿宋_GB2312" w:cs="仿宋_GB2312"/>
          <w:color w:val="auto"/>
          <w:kern w:val="0"/>
          <w:sz w:val="32"/>
          <w:szCs w:val="32"/>
          <w:u w:val="none"/>
        </w:rPr>
        <w:t>年度财政拨款收入、支出决算总计均为</w:t>
      </w:r>
      <w:r>
        <w:rPr>
          <w:rFonts w:hint="eastAsia" w:ascii="Times New Roman" w:hAnsi="Times New Roman" w:eastAsia="仿宋_GB2312" w:cs="仿宋_GB2312"/>
          <w:color w:val="auto"/>
          <w:kern w:val="0"/>
          <w:sz w:val="32"/>
          <w:szCs w:val="32"/>
          <w:u w:val="none"/>
          <w:lang w:eastAsia="zh-CN"/>
        </w:rPr>
        <w:t>1</w:t>
      </w:r>
      <w:r>
        <w:rPr>
          <w:rFonts w:hint="eastAsia" w:ascii="仿宋_GB2312" w:hAnsi="仿宋_GB2312"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eastAsia="zh-CN"/>
        </w:rPr>
        <w:t>824</w:t>
      </w:r>
      <w:r>
        <w:rPr>
          <w:rFonts w:hint="eastAsia" w:ascii="仿宋_GB2312" w:hAnsi="仿宋_GB2312"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04</w:t>
      </w:r>
      <w:r>
        <w:rPr>
          <w:rFonts w:hint="eastAsia" w:ascii="仿宋_GB2312" w:hAnsi="仿宋_GB2312" w:eastAsia="仿宋_GB2312" w:cs="仿宋_GB2312"/>
          <w:color w:val="auto"/>
          <w:kern w:val="0"/>
          <w:sz w:val="32"/>
          <w:szCs w:val="32"/>
          <w:u w:val="none"/>
        </w:rPr>
        <w:t>万元，与年初预算相比，收、支总计各减少</w:t>
      </w:r>
      <w:r>
        <w:rPr>
          <w:rFonts w:hint="eastAsia" w:ascii="Times New Roman" w:hAnsi="Times New Roman" w:eastAsia="仿宋_GB2312" w:cs="仿宋_GB2312"/>
          <w:color w:val="auto"/>
          <w:kern w:val="0"/>
          <w:sz w:val="32"/>
          <w:szCs w:val="32"/>
          <w:u w:val="none"/>
          <w:lang w:eastAsia="zh-CN"/>
        </w:rPr>
        <w:t>189</w:t>
      </w:r>
      <w:r>
        <w:rPr>
          <w:rFonts w:hint="eastAsia" w:ascii="仿宋_GB2312" w:hAnsi="仿宋_GB2312"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04</w:t>
      </w:r>
      <w:r>
        <w:rPr>
          <w:rFonts w:hint="eastAsia" w:ascii="仿宋_GB2312" w:hAnsi="仿宋_GB2312" w:eastAsia="仿宋_GB2312" w:cs="仿宋_GB2312"/>
          <w:color w:val="auto"/>
          <w:kern w:val="0"/>
          <w:sz w:val="32"/>
          <w:szCs w:val="32"/>
          <w:u w:val="none"/>
        </w:rPr>
        <w:t>万元，下降</w:t>
      </w:r>
      <w:r>
        <w:rPr>
          <w:rFonts w:hint="eastAsia" w:ascii="Times New Roman" w:hAnsi="Times New Roman" w:eastAsia="仿宋_GB2312" w:cs="仿宋_GB2312"/>
          <w:color w:val="auto"/>
          <w:kern w:val="0"/>
          <w:sz w:val="32"/>
          <w:szCs w:val="32"/>
          <w:u w:val="none"/>
          <w:lang w:eastAsia="zh-CN"/>
        </w:rPr>
        <w:t>9</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39</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lang w:val="en-US" w:eastAsia="zh-CN"/>
        </w:rPr>
        <w:t>年新增退休人员，各项经费支出减少</w:t>
      </w:r>
      <w:r>
        <w:rPr>
          <w:rFonts w:hint="eastAsia" w:ascii="仿宋_GB2312" w:hAnsi="仿宋_GB2312" w:eastAsia="仿宋_GB2312" w:cs="仿宋_GB2312"/>
          <w:color w:val="auto"/>
          <w:kern w:val="0"/>
          <w:sz w:val="32"/>
          <w:szCs w:val="32"/>
          <w:u w:val="none"/>
        </w:rPr>
        <w:t>；与上年决算相比，收、支总计各增加</w:t>
      </w:r>
      <w:r>
        <w:rPr>
          <w:rFonts w:hint="eastAsia" w:ascii="Times New Roman" w:hAnsi="Times New Roman" w:eastAsia="仿宋_GB2312" w:cs="仿宋_GB2312"/>
          <w:color w:val="auto"/>
          <w:kern w:val="0"/>
          <w:sz w:val="32"/>
          <w:szCs w:val="32"/>
          <w:u w:val="none"/>
          <w:lang w:val="en-US" w:eastAsia="zh-CN"/>
        </w:rPr>
        <w:t>57</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64</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val="en-US" w:eastAsia="zh-CN"/>
        </w:rPr>
        <w:t>3</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26</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eastAsia="zh-CN"/>
        </w:rPr>
        <w:t>：</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lang w:val="en-US" w:eastAsia="zh-CN"/>
        </w:rPr>
        <w:t>年年中追加经费。</w:t>
      </w:r>
    </w:p>
    <w:p w14:paraId="4535D8CF">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Times New Roman" w:cs="Times New Roman"/>
          <w:b w:val="0"/>
          <w:bCs w:val="0"/>
          <w:color w:val="auto"/>
          <w:kern w:val="0"/>
          <w:sz w:val="32"/>
          <w:szCs w:val="32"/>
        </w:rPr>
      </w:pPr>
      <w:r>
        <w:rPr>
          <w:rFonts w:ascii="黑体" w:hAnsi="黑体" w:eastAsia="黑体" w:cs="黑体"/>
          <w:b w:val="0"/>
          <w:bCs w:val="0"/>
          <w:color w:val="auto"/>
          <w:kern w:val="0"/>
          <w:sz w:val="32"/>
          <w:szCs w:val="32"/>
        </w:rPr>
        <w:t>五、一般公共预算财政拨款支出决算情况说明</w:t>
      </w:r>
    </w:p>
    <w:p w14:paraId="3B7490D2">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kern w:val="0"/>
          <w:sz w:val="32"/>
          <w:szCs w:val="32"/>
          <w:u w:val="none"/>
          <w:lang w:val="en-US" w:eastAsia="zh-CN"/>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eastAsia="zh-CN"/>
        </w:rPr>
        <w:t>2025</w:t>
      </w:r>
      <w:r>
        <w:rPr>
          <w:rFonts w:hint="eastAsia" w:ascii="仿宋_GB2312" w:hAnsi="仿宋_GB2312" w:eastAsia="仿宋_GB2312" w:cs="仿宋_GB2312"/>
          <w:color w:val="auto"/>
          <w:kern w:val="0"/>
          <w:sz w:val="32"/>
          <w:szCs w:val="32"/>
          <w:u w:val="none"/>
        </w:rPr>
        <w:t>年度一般公共预算财政拨款支出决算</w:t>
      </w:r>
      <w:r>
        <w:rPr>
          <w:rFonts w:hint="eastAsia" w:ascii="Times New Roman" w:hAnsi="Times New Roman" w:eastAsia="仿宋_GB2312" w:cs="仿宋_GB2312"/>
          <w:color w:val="auto"/>
          <w:kern w:val="0"/>
          <w:sz w:val="32"/>
          <w:szCs w:val="32"/>
          <w:u w:val="none"/>
          <w:lang w:val="en-US" w:eastAsia="zh-CN"/>
        </w:rPr>
        <w:t>1,824</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04</w:t>
      </w:r>
      <w:r>
        <w:rPr>
          <w:rFonts w:hint="eastAsia" w:ascii="仿宋_GB2312" w:hAnsi="仿宋_GB2312" w:eastAsia="仿宋_GB2312" w:cs="仿宋_GB2312"/>
          <w:color w:val="auto"/>
          <w:kern w:val="0"/>
          <w:sz w:val="32"/>
          <w:szCs w:val="32"/>
          <w:u w:val="none"/>
        </w:rPr>
        <w:t>万元</w:t>
      </w:r>
      <w:r>
        <w:rPr>
          <w:rFonts w:hint="eastAsia" w:ascii="仿宋_GB2312" w:hAnsi="仿宋_GB2312" w:eastAsia="仿宋_GB2312" w:cs="仿宋_GB2312"/>
          <w:color w:val="auto"/>
          <w:kern w:val="0"/>
          <w:sz w:val="32"/>
          <w:szCs w:val="32"/>
          <w:u w:val="none"/>
          <w:lang w:eastAsia="zh-CN"/>
        </w:rPr>
        <w:t>。</w:t>
      </w:r>
      <w:r>
        <w:rPr>
          <w:rFonts w:hint="eastAsia" w:ascii="仿宋_GB2312" w:hAnsi="仿宋_GB2312" w:eastAsia="仿宋_GB2312" w:cs="仿宋_GB2312"/>
          <w:color w:val="auto"/>
          <w:kern w:val="0"/>
          <w:sz w:val="32"/>
          <w:szCs w:val="32"/>
          <w:u w:val="none"/>
        </w:rPr>
        <w:t>与年初预算</w:t>
      </w:r>
      <w:r>
        <w:rPr>
          <w:rFonts w:hint="eastAsia" w:ascii="Times New Roman" w:hAnsi="Times New Roman" w:eastAsia="仿宋_GB2312" w:cs="仿宋_GB2312"/>
          <w:color w:val="auto"/>
          <w:kern w:val="0"/>
          <w:sz w:val="32"/>
          <w:szCs w:val="32"/>
          <w:u w:val="none"/>
          <w:lang w:val="en-US" w:eastAsia="zh-CN"/>
        </w:rPr>
        <w:t>2,013</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09万元相比，完成年初预算的90</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61</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。其中：</w:t>
      </w:r>
    </w:p>
    <w:p w14:paraId="31B53258">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w:t>
      </w:r>
      <w:r>
        <w:rPr>
          <w:rFonts w:hint="eastAsia" w:ascii="楷体_GB2312" w:hAnsi="楷体_GB2312" w:eastAsia="楷体_GB2312" w:cs="楷体_GB2312"/>
          <w:b/>
          <w:bCs/>
          <w:color w:val="auto"/>
          <w:kern w:val="0"/>
          <w:sz w:val="32"/>
          <w:szCs w:val="32"/>
          <w:lang w:val="en-US" w:eastAsia="zh-CN"/>
        </w:rPr>
        <w:t>一</w:t>
      </w:r>
      <w:r>
        <w:rPr>
          <w:rFonts w:hint="eastAsia" w:ascii="楷体_GB2312" w:hAnsi="楷体_GB2312" w:eastAsia="楷体_GB2312" w:cs="楷体_GB2312"/>
          <w:b/>
          <w:bCs/>
          <w:color w:val="auto"/>
          <w:kern w:val="0"/>
          <w:sz w:val="32"/>
          <w:szCs w:val="32"/>
        </w:rPr>
        <w:t>）公共安全（类）</w:t>
      </w:r>
    </w:p>
    <w:p w14:paraId="524E56C1">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公共安全（类）决算数为</w:t>
      </w:r>
      <w:r>
        <w:rPr>
          <w:rFonts w:hint="eastAsia" w:ascii="Times New Roman" w:hAnsi="Times New Roman" w:eastAsia="仿宋_GB2312" w:cs="仿宋_GB2312"/>
          <w:color w:val="auto"/>
          <w:kern w:val="0"/>
          <w:sz w:val="32"/>
          <w:szCs w:val="32"/>
          <w:u w:val="none"/>
          <w:lang w:eastAsia="zh-CN"/>
        </w:rPr>
        <w:t>1</w:t>
      </w:r>
      <w:r>
        <w:rPr>
          <w:rFonts w:hint="eastAsia" w:ascii="仿宋_GB2312" w:hAnsi="仿宋_GB2312"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eastAsia="zh-CN"/>
        </w:rPr>
        <w:t>298</w:t>
      </w:r>
      <w:r>
        <w:rPr>
          <w:rFonts w:hint="eastAsia" w:ascii="仿宋_GB2312" w:hAnsi="仿宋_GB2312"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93</w:t>
      </w:r>
      <w:r>
        <w:rPr>
          <w:rFonts w:hint="eastAsia" w:ascii="仿宋_GB2312" w:hAnsi="仿宋_GB2312" w:eastAsia="仿宋_GB2312" w:cs="仿宋_GB2312"/>
          <w:color w:val="auto"/>
          <w:kern w:val="0"/>
          <w:sz w:val="32"/>
          <w:szCs w:val="32"/>
          <w:u w:val="none"/>
        </w:rPr>
        <w:t>万元，与年初预算相比减少</w:t>
      </w:r>
      <w:r>
        <w:rPr>
          <w:rFonts w:hint="eastAsia" w:ascii="Times New Roman" w:hAnsi="Times New Roman" w:eastAsia="仿宋_GB2312" w:cs="仿宋_GB2312"/>
          <w:color w:val="auto"/>
          <w:kern w:val="0"/>
          <w:sz w:val="32"/>
          <w:szCs w:val="32"/>
          <w:u w:val="none"/>
          <w:lang w:eastAsia="zh-CN"/>
        </w:rPr>
        <w:t>223</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69</w:t>
      </w:r>
      <w:r>
        <w:rPr>
          <w:rFonts w:hint="eastAsia" w:ascii="仿宋_GB2312" w:hAnsi="仿宋_GB2312" w:eastAsia="仿宋_GB2312" w:cs="仿宋_GB2312"/>
          <w:color w:val="auto"/>
          <w:kern w:val="0"/>
          <w:sz w:val="32"/>
          <w:szCs w:val="32"/>
          <w:u w:val="none"/>
        </w:rPr>
        <w:t>万元。其中：</w:t>
      </w:r>
    </w:p>
    <w:p w14:paraId="00995C83">
      <w:pPr>
        <w:keepNext w:val="0"/>
        <w:keepLines w:val="0"/>
        <w:pageBreakBefore w:val="0"/>
        <w:widowControl w:val="0"/>
        <w:tabs>
          <w:tab w:val="left" w:pos="420"/>
          <w:tab w:val="left" w:pos="640"/>
        </w:tabs>
        <w:kinsoku/>
        <w:wordWrap/>
        <w:overflowPunct/>
        <w:topLinePunct w:val="0"/>
        <w:autoSpaceDE/>
        <w:autoSpaceDN/>
        <w:bidi w:val="0"/>
        <w:adjustRightInd/>
        <w:snapToGrid/>
        <w:spacing w:line="560" w:lineRule="exact"/>
        <w:ind w:firstLine="640" w:firstLineChars="200"/>
        <w:contextualSpacing/>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color w:val="auto"/>
          <w:kern w:val="0"/>
          <w:sz w:val="32"/>
          <w:szCs w:val="32"/>
          <w:u w:val="none"/>
          <w:lang w:eastAsia="zh-CN"/>
        </w:rPr>
        <w:t>1</w:t>
      </w:r>
      <w:r>
        <w:rPr>
          <w:rFonts w:hint="eastAsia" w:ascii="仿宋_GB2312" w:hAnsi="仿宋_GB2312" w:eastAsia="仿宋_GB2312" w:cs="仿宋_GB2312"/>
          <w:color w:val="auto"/>
          <w:kern w:val="0"/>
          <w:sz w:val="32"/>
          <w:szCs w:val="32"/>
          <w:u w:val="none"/>
          <w:lang w:val="en-US" w:eastAsia="zh-CN"/>
        </w:rPr>
        <w:t>.</w:t>
      </w:r>
      <w:r>
        <w:rPr>
          <w:rFonts w:hint="eastAsia" w:ascii="仿宋_GB2312" w:hAnsi="仿宋_GB2312" w:eastAsia="仿宋_GB2312" w:cs="仿宋_GB2312"/>
          <w:color w:val="auto"/>
          <w:kern w:val="0"/>
          <w:sz w:val="32"/>
          <w:szCs w:val="32"/>
          <w:u w:val="none"/>
        </w:rPr>
        <w:t>公安（款）行政运行（项）。年初预算</w:t>
      </w:r>
      <w:r>
        <w:rPr>
          <w:rFonts w:hint="eastAsia" w:ascii="Times New Roman" w:hAnsi="Times New Roman" w:eastAsia="仿宋_GB2312" w:cs="仿宋_GB2312"/>
          <w:color w:val="auto"/>
          <w:kern w:val="0"/>
          <w:sz w:val="32"/>
          <w:szCs w:val="32"/>
          <w:u w:val="none"/>
          <w:lang w:val="en-US" w:eastAsia="zh-CN" w:bidi="ar-SA"/>
        </w:rPr>
        <w:t>1,482.62</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bidi="ar-SA"/>
        </w:rPr>
        <w:t>1,228.93</w:t>
      </w:r>
      <w:r>
        <w:rPr>
          <w:rFonts w:hint="eastAsia" w:ascii="仿宋_GB2312" w:hAnsi="仿宋_GB2312" w:eastAsia="仿宋_GB2312" w:cs="仿宋_GB2312"/>
          <w:color w:val="auto"/>
          <w:kern w:val="0"/>
          <w:sz w:val="32"/>
          <w:szCs w:val="32"/>
          <w:u w:val="none"/>
        </w:rPr>
        <w:t>万元，完成年初预算的</w:t>
      </w:r>
      <w:r>
        <w:rPr>
          <w:rFonts w:hint="eastAsia" w:ascii="Times New Roman" w:hAnsi="Times New Roman" w:eastAsia="仿宋_GB2312" w:cs="仿宋_GB2312"/>
          <w:color w:val="auto"/>
          <w:kern w:val="0"/>
          <w:sz w:val="32"/>
          <w:szCs w:val="32"/>
          <w:u w:val="none"/>
          <w:lang w:val="en-US" w:eastAsia="zh-CN" w:bidi="ar-SA"/>
        </w:rPr>
        <w:t>82.89</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。决算数与年初预算数的差异原因：</w:t>
      </w:r>
      <w:r>
        <w:rPr>
          <w:rFonts w:hint="eastAsia" w:ascii="仿宋_GB2312" w:hAnsi="仿宋_GB2312" w:eastAsia="仿宋_GB2312" w:cs="仿宋_GB2312"/>
          <w:color w:val="auto"/>
          <w:kern w:val="0"/>
          <w:sz w:val="32"/>
          <w:szCs w:val="32"/>
        </w:rPr>
        <w:t>我单位</w:t>
      </w:r>
      <w:r>
        <w:rPr>
          <w:rFonts w:hint="eastAsia" w:ascii="Times New Roman" w:hAnsi="Times New Roman" w:eastAsia="仿宋_GB2312" w:cs="仿宋_GB2312"/>
          <w:color w:val="auto"/>
          <w:kern w:val="0"/>
          <w:sz w:val="32"/>
          <w:szCs w:val="32"/>
          <w:u w:val="none"/>
          <w:lang w:val="en-US" w:eastAsia="zh-CN" w:bidi="ar-SA"/>
        </w:rPr>
        <w:t>2025</w:t>
      </w:r>
      <w:r>
        <w:rPr>
          <w:rFonts w:hint="eastAsia" w:ascii="仿宋_GB2312" w:hAnsi="仿宋_GB2312" w:eastAsia="仿宋_GB2312" w:cs="仿宋_GB2312"/>
          <w:color w:val="auto"/>
          <w:kern w:val="0"/>
          <w:sz w:val="32"/>
          <w:szCs w:val="32"/>
        </w:rPr>
        <w:t>年新增退休人员，各项经费支出减少。</w:t>
      </w:r>
    </w:p>
    <w:p w14:paraId="54AABF2B">
      <w:pPr>
        <w:keepNext w:val="0"/>
        <w:keepLines w:val="0"/>
        <w:pageBreakBefore w:val="0"/>
        <w:widowControl w:val="0"/>
        <w:tabs>
          <w:tab w:val="left" w:pos="420"/>
          <w:tab w:val="left" w:pos="640"/>
        </w:tabs>
        <w:kinsoku/>
        <w:wordWrap/>
        <w:overflowPunct/>
        <w:topLinePunct w:val="0"/>
        <w:autoSpaceDE/>
        <w:autoSpaceDN/>
        <w:bidi w:val="0"/>
        <w:adjustRightInd/>
        <w:snapToGrid/>
        <w:spacing w:line="560" w:lineRule="exact"/>
        <w:ind w:firstLine="640" w:firstLineChars="200"/>
        <w:contextualSpacing/>
        <w:jc w:val="both"/>
        <w:textAlignment w:val="auto"/>
        <w:outlineLvl w:val="9"/>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lang w:eastAsia="zh-CN"/>
        </w:rPr>
        <w:t>2</w:t>
      </w:r>
      <w:r>
        <w:rPr>
          <w:rFonts w:hint="eastAsia" w:ascii="仿宋_GB2312" w:hAnsi="仿宋_GB2312" w:eastAsia="仿宋_GB2312" w:cs="仿宋_GB2312"/>
          <w:color w:val="auto"/>
          <w:kern w:val="0"/>
          <w:sz w:val="32"/>
          <w:szCs w:val="32"/>
        </w:rPr>
        <w:t>.公安（款）一般行政管理事务（项）。年初预算</w:t>
      </w:r>
      <w:r>
        <w:rPr>
          <w:rFonts w:hint="eastAsia" w:ascii="Times New Roman" w:hAnsi="Times New Roman" w:eastAsia="仿宋_GB2312" w:cs="仿宋_GB2312"/>
          <w:color w:val="auto"/>
          <w:kern w:val="0"/>
          <w:sz w:val="32"/>
          <w:szCs w:val="32"/>
          <w:u w:val="none"/>
          <w:lang w:val="en-US" w:eastAsia="zh-CN" w:bidi="ar-SA"/>
        </w:rPr>
        <w:t>40.00</w:t>
      </w:r>
      <w:r>
        <w:rPr>
          <w:rFonts w:hint="eastAsia" w:ascii="仿宋_GB2312" w:hAnsi="仿宋_GB2312" w:eastAsia="仿宋_GB2312" w:cs="仿宋_GB2312"/>
          <w:color w:val="auto"/>
          <w:kern w:val="0"/>
          <w:sz w:val="32"/>
          <w:szCs w:val="32"/>
        </w:rPr>
        <w:t>万元，支出决算</w:t>
      </w:r>
      <w:r>
        <w:rPr>
          <w:rFonts w:hint="eastAsia" w:ascii="Times New Roman" w:hAnsi="Times New Roman" w:eastAsia="仿宋_GB2312" w:cs="仿宋_GB2312"/>
          <w:color w:val="auto"/>
          <w:kern w:val="0"/>
          <w:sz w:val="32"/>
          <w:szCs w:val="32"/>
          <w:u w:val="none"/>
          <w:lang w:val="en-US" w:eastAsia="zh-CN" w:bidi="ar-SA"/>
        </w:rPr>
        <w:t>70.00</w:t>
      </w:r>
      <w:r>
        <w:rPr>
          <w:rFonts w:hint="eastAsia" w:ascii="仿宋_GB2312" w:hAnsi="仿宋_GB2312" w:eastAsia="仿宋_GB2312" w:cs="仿宋_GB2312"/>
          <w:color w:val="auto"/>
          <w:kern w:val="0"/>
          <w:sz w:val="32"/>
          <w:szCs w:val="32"/>
        </w:rPr>
        <w:t>万元，完成年初预算的</w:t>
      </w:r>
      <w:r>
        <w:rPr>
          <w:rFonts w:hint="eastAsia" w:ascii="Times New Roman" w:hAnsi="Times New Roman" w:eastAsia="仿宋_GB2312" w:cs="仿宋_GB2312"/>
          <w:color w:val="auto"/>
          <w:kern w:val="0"/>
          <w:sz w:val="32"/>
          <w:szCs w:val="32"/>
          <w:u w:val="none"/>
          <w:lang w:val="en-US" w:eastAsia="zh-CN" w:bidi="ar-SA"/>
        </w:rPr>
        <w:t>175.00</w:t>
      </w:r>
      <w:r>
        <w:rPr>
          <w:rFonts w:hint="eastAsia" w:ascii="仿宋_GB2312" w:hAnsi="仿宋_GB2312" w:eastAsia="仿宋_GB2312" w:cs="仿宋_GB2312"/>
          <w:color w:val="auto"/>
          <w:kern w:val="0"/>
          <w:sz w:val="32"/>
          <w:szCs w:val="32"/>
        </w:rPr>
        <w:t>%。决算数与年初预算数的差异原因：我单位</w:t>
      </w:r>
      <w:r>
        <w:rPr>
          <w:rFonts w:hint="eastAsia" w:ascii="Times New Roman" w:hAnsi="Times New Roman" w:eastAsia="仿宋_GB2312" w:cs="仿宋_GB2312"/>
          <w:color w:val="auto"/>
          <w:kern w:val="0"/>
          <w:sz w:val="32"/>
          <w:szCs w:val="32"/>
          <w:u w:val="none"/>
          <w:lang w:val="en-US" w:eastAsia="zh-CN" w:bidi="ar-SA"/>
        </w:rPr>
        <w:t>2025</w:t>
      </w:r>
      <w:r>
        <w:rPr>
          <w:rFonts w:hint="eastAsia" w:ascii="仿宋_GB2312" w:hAnsi="仿宋_GB2312" w:eastAsia="仿宋_GB2312" w:cs="仿宋_GB2312"/>
          <w:color w:val="auto"/>
          <w:kern w:val="0"/>
          <w:sz w:val="32"/>
          <w:szCs w:val="32"/>
          <w:lang w:val="en-US" w:eastAsia="zh-CN"/>
        </w:rPr>
        <w:t>年年中追加经费</w:t>
      </w:r>
      <w:r>
        <w:rPr>
          <w:rFonts w:hint="eastAsia" w:ascii="仿宋_GB2312" w:hAnsi="仿宋_GB2312" w:eastAsia="仿宋_GB2312" w:cs="仿宋_GB2312"/>
          <w:color w:val="auto"/>
          <w:kern w:val="0"/>
          <w:sz w:val="32"/>
          <w:szCs w:val="32"/>
        </w:rPr>
        <w:t>。</w:t>
      </w:r>
    </w:p>
    <w:p w14:paraId="1C67D4DA">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w:t>
      </w:r>
      <w:r>
        <w:rPr>
          <w:rFonts w:hint="eastAsia" w:ascii="楷体_GB2312" w:hAnsi="楷体_GB2312" w:eastAsia="楷体_GB2312" w:cs="楷体_GB2312"/>
          <w:b/>
          <w:bCs/>
          <w:color w:val="auto"/>
          <w:kern w:val="0"/>
          <w:sz w:val="32"/>
          <w:szCs w:val="32"/>
          <w:lang w:val="en-US" w:eastAsia="zh-CN"/>
        </w:rPr>
        <w:t>二</w:t>
      </w:r>
      <w:r>
        <w:rPr>
          <w:rFonts w:hint="eastAsia" w:ascii="楷体_GB2312" w:hAnsi="楷体_GB2312" w:eastAsia="楷体_GB2312" w:cs="楷体_GB2312"/>
          <w:b/>
          <w:bCs/>
          <w:color w:val="auto"/>
          <w:kern w:val="0"/>
          <w:sz w:val="32"/>
          <w:szCs w:val="32"/>
        </w:rPr>
        <w:t>）社会保障和就业支出（类）</w:t>
      </w:r>
    </w:p>
    <w:p w14:paraId="147360C6">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社会保障和就业支出（类）决算数为</w:t>
      </w:r>
      <w:r>
        <w:rPr>
          <w:rFonts w:hint="eastAsia" w:ascii="Times New Roman" w:hAnsi="Times New Roman" w:eastAsia="仿宋_GB2312" w:cs="仿宋_GB2312"/>
          <w:color w:val="auto"/>
          <w:kern w:val="0"/>
          <w:sz w:val="32"/>
          <w:szCs w:val="32"/>
          <w:u w:val="none"/>
          <w:lang w:val="en-US" w:eastAsia="zh-CN" w:bidi="ar-SA"/>
        </w:rPr>
        <w:t>276</w:t>
      </w:r>
      <w:r>
        <w:rPr>
          <w:rFonts w:hint="eastAsia" w:ascii="Times New Roman" w:hAnsi="Times New Roman" w:eastAsia="仿宋_GB2312" w:cs="仿宋_GB2312"/>
          <w:color w:val="auto"/>
          <w:kern w:val="0"/>
          <w:sz w:val="32"/>
          <w:szCs w:val="32"/>
          <w:u w:val="none"/>
          <w:lang w:val="en-US" w:eastAsia="en-US" w:bidi="ar-SA"/>
        </w:rPr>
        <w:t>.</w:t>
      </w:r>
      <w:r>
        <w:rPr>
          <w:rFonts w:hint="eastAsia" w:ascii="Times New Roman" w:hAnsi="Times New Roman" w:eastAsia="仿宋_GB2312" w:cs="仿宋_GB2312"/>
          <w:color w:val="auto"/>
          <w:kern w:val="0"/>
          <w:sz w:val="32"/>
          <w:szCs w:val="32"/>
          <w:u w:val="none"/>
          <w:lang w:val="en-US" w:eastAsia="zh-CN" w:bidi="ar-SA"/>
        </w:rPr>
        <w:t>59</w:t>
      </w:r>
      <w:r>
        <w:rPr>
          <w:rFonts w:hint="eastAsia" w:ascii="仿宋_GB2312" w:hAnsi="仿宋_GB2312" w:eastAsia="仿宋_GB2312" w:cs="仿宋_GB2312"/>
          <w:color w:val="auto"/>
          <w:kern w:val="0"/>
          <w:sz w:val="32"/>
          <w:szCs w:val="32"/>
          <w:u w:val="none"/>
        </w:rPr>
        <w:t>万元，与年初预算相比增加</w:t>
      </w:r>
      <w:r>
        <w:rPr>
          <w:rFonts w:hint="eastAsia" w:ascii="Times New Roman" w:hAnsi="Times New Roman" w:eastAsia="仿宋_GB2312" w:cs="仿宋_GB2312"/>
          <w:color w:val="auto"/>
          <w:kern w:val="0"/>
          <w:sz w:val="32"/>
          <w:szCs w:val="32"/>
          <w:u w:val="none"/>
          <w:lang w:val="en-US" w:eastAsia="zh-CN" w:bidi="ar-SA"/>
        </w:rPr>
        <w:t>63</w:t>
      </w:r>
      <w:r>
        <w:rPr>
          <w:rFonts w:hint="eastAsia" w:ascii="Times New Roman" w:hAnsi="Times New Roman" w:eastAsia="仿宋_GB2312" w:cs="仿宋_GB2312"/>
          <w:color w:val="auto"/>
          <w:kern w:val="0"/>
          <w:sz w:val="32"/>
          <w:szCs w:val="32"/>
          <w:u w:val="none"/>
          <w:lang w:val="en-US" w:eastAsia="en-US" w:bidi="ar-SA"/>
        </w:rPr>
        <w:t>.</w:t>
      </w:r>
      <w:r>
        <w:rPr>
          <w:rFonts w:hint="eastAsia" w:ascii="Times New Roman" w:hAnsi="Times New Roman" w:eastAsia="仿宋_GB2312" w:cs="仿宋_GB2312"/>
          <w:color w:val="auto"/>
          <w:kern w:val="0"/>
          <w:sz w:val="32"/>
          <w:szCs w:val="32"/>
          <w:u w:val="none"/>
          <w:lang w:val="en-US" w:eastAsia="zh-CN" w:bidi="ar-SA"/>
        </w:rPr>
        <w:t>55</w:t>
      </w:r>
      <w:r>
        <w:rPr>
          <w:rFonts w:hint="eastAsia" w:ascii="仿宋_GB2312" w:hAnsi="仿宋_GB2312" w:eastAsia="仿宋_GB2312" w:cs="仿宋_GB2312"/>
          <w:color w:val="auto"/>
          <w:kern w:val="0"/>
          <w:sz w:val="32"/>
          <w:szCs w:val="32"/>
          <w:u w:val="none"/>
        </w:rPr>
        <w:t>万元。其中：</w:t>
      </w:r>
    </w:p>
    <w:p w14:paraId="13844CF1">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jc w:val="both"/>
        <w:textAlignment w:val="auto"/>
        <w:outlineLvl w:val="9"/>
        <w:rPr>
          <w:rFonts w:hint="eastAsia" w:ascii="Times New Roman" w:hAnsi="Times New Roman" w:eastAsia="仿宋_GB2312" w:cs="仿宋_GB2312"/>
          <w:color w:val="auto"/>
          <w:kern w:val="0"/>
          <w:sz w:val="32"/>
          <w:szCs w:val="32"/>
          <w:u w:val="none"/>
          <w:lang w:val="en-US" w:eastAsia="zh-CN" w:bidi="ar-SA"/>
        </w:rPr>
      </w:pPr>
      <w:r>
        <w:rPr>
          <w:rFonts w:hint="eastAsia" w:ascii="Times New Roman" w:hAnsi="Times New Roman" w:eastAsia="仿宋_GB2312" w:cs="仿宋_GB2312"/>
          <w:color w:val="auto"/>
          <w:kern w:val="0"/>
          <w:sz w:val="32"/>
          <w:szCs w:val="32"/>
          <w:u w:val="none"/>
          <w:lang w:eastAsia="zh-CN"/>
        </w:rPr>
        <w:t>1</w:t>
      </w:r>
      <w:r>
        <w:rPr>
          <w:rFonts w:hint="eastAsia" w:ascii="仿宋_GB2312" w:hAnsi="仿宋_GB2312" w:eastAsia="仿宋_GB2312" w:cs="仿宋_GB2312"/>
          <w:color w:val="auto"/>
          <w:kern w:val="0"/>
          <w:sz w:val="32"/>
          <w:szCs w:val="32"/>
          <w:u w:val="none"/>
          <w:lang w:val="en-US" w:eastAsia="zh-CN"/>
        </w:rPr>
        <w:t>.</w:t>
      </w:r>
      <w:r>
        <w:rPr>
          <w:rFonts w:hint="eastAsia" w:ascii="仿宋_GB2312" w:hAnsi="仿宋_GB2312" w:eastAsia="仿宋_GB2312" w:cs="仿宋_GB2312"/>
          <w:color w:val="auto"/>
          <w:kern w:val="0"/>
          <w:sz w:val="32"/>
          <w:szCs w:val="32"/>
          <w:u w:val="none"/>
        </w:rPr>
        <w:t>行政事业单位养老支出（款）行政单位离退休（项）。年初预算</w:t>
      </w:r>
      <w:r>
        <w:rPr>
          <w:rFonts w:hint="eastAsia" w:ascii="Times New Roman" w:hAnsi="Times New Roman" w:eastAsia="仿宋_GB2312" w:cs="仿宋_GB2312"/>
          <w:color w:val="auto"/>
          <w:kern w:val="0"/>
          <w:sz w:val="32"/>
          <w:szCs w:val="32"/>
          <w:u w:val="none"/>
          <w:lang w:val="en-US" w:eastAsia="zh-CN" w:bidi="ar-SA"/>
        </w:rPr>
        <w:t>35.21</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bidi="ar-SA"/>
        </w:rPr>
        <w:t>41.29</w:t>
      </w:r>
      <w:r>
        <w:rPr>
          <w:rFonts w:hint="eastAsia" w:ascii="仿宋_GB2312" w:hAnsi="仿宋_GB2312" w:eastAsia="仿宋_GB2312" w:cs="仿宋_GB2312"/>
          <w:color w:val="auto"/>
          <w:kern w:val="0"/>
          <w:sz w:val="32"/>
          <w:szCs w:val="32"/>
          <w:u w:val="none"/>
        </w:rPr>
        <w:t>万元，完成年初预算的</w:t>
      </w:r>
      <w:r>
        <w:rPr>
          <w:rFonts w:hint="eastAsia" w:ascii="Times New Roman" w:hAnsi="Times New Roman" w:eastAsia="仿宋_GB2312" w:cs="仿宋_GB2312"/>
          <w:color w:val="auto"/>
          <w:kern w:val="0"/>
          <w:sz w:val="32"/>
          <w:szCs w:val="32"/>
          <w:u w:val="none"/>
          <w:lang w:val="en-US" w:eastAsia="zh-CN" w:bidi="ar-SA"/>
        </w:rPr>
        <w:t>117.27</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。决算数与年初预算数的差异原因：</w:t>
      </w:r>
      <w:r>
        <w:rPr>
          <w:rFonts w:hint="eastAsia" w:ascii="仿宋_GB2312" w:hAnsi="仿宋_GB2312" w:eastAsia="仿宋_GB2312" w:cs="仿宋_GB2312"/>
          <w:color w:val="auto"/>
          <w:kern w:val="0"/>
          <w:sz w:val="32"/>
          <w:szCs w:val="32"/>
        </w:rPr>
        <w:t>我单位</w:t>
      </w:r>
      <w:r>
        <w:rPr>
          <w:rFonts w:hint="eastAsia" w:ascii="Times New Roman" w:hAnsi="Times New Roman" w:eastAsia="仿宋_GB2312" w:cs="仿宋_GB2312"/>
          <w:color w:val="auto"/>
          <w:kern w:val="0"/>
          <w:sz w:val="32"/>
          <w:szCs w:val="32"/>
          <w:u w:val="none"/>
          <w:lang w:val="en-US" w:eastAsia="zh-CN" w:bidi="ar-SA"/>
        </w:rPr>
        <w:t>2025年新增退休人员，离退休人员生活补助增加。</w:t>
      </w:r>
    </w:p>
    <w:p w14:paraId="26D451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color w:val="auto"/>
          <w:kern w:val="0"/>
          <w:sz w:val="32"/>
          <w:szCs w:val="32"/>
          <w:u w:val="none"/>
          <w:lang w:val="en-US" w:eastAsia="zh-CN"/>
        </w:rPr>
        <w:t>2</w:t>
      </w:r>
      <w:r>
        <w:rPr>
          <w:rFonts w:hint="eastAsia" w:ascii="仿宋_GB2312" w:hAnsi="仿宋_GB2312" w:eastAsia="仿宋_GB2312" w:cs="仿宋_GB2312"/>
          <w:color w:val="auto"/>
          <w:kern w:val="0"/>
          <w:sz w:val="32"/>
          <w:szCs w:val="32"/>
          <w:u w:val="none"/>
          <w:lang w:val="en-US" w:eastAsia="zh-CN"/>
        </w:rPr>
        <w:t>.</w:t>
      </w:r>
      <w:r>
        <w:rPr>
          <w:rFonts w:hint="eastAsia" w:ascii="仿宋_GB2312" w:hAnsi="仿宋_GB2312" w:eastAsia="仿宋_GB2312" w:cs="仿宋_GB2312"/>
          <w:color w:val="auto"/>
          <w:kern w:val="0"/>
          <w:sz w:val="32"/>
          <w:szCs w:val="32"/>
          <w:u w:val="none"/>
        </w:rPr>
        <w:t>行政事业单位养老支出（款）机关事业单位基本养老保险缴费支出（项）。年初预算</w:t>
      </w:r>
      <w:r>
        <w:rPr>
          <w:rFonts w:hint="eastAsia" w:ascii="Times New Roman" w:hAnsi="Times New Roman" w:eastAsia="仿宋_GB2312" w:cs="仿宋_GB2312"/>
          <w:color w:val="auto"/>
          <w:kern w:val="0"/>
          <w:sz w:val="32"/>
          <w:szCs w:val="32"/>
          <w:u w:val="none"/>
          <w:lang w:val="en-US" w:eastAsia="zh-CN" w:bidi="ar-SA"/>
        </w:rPr>
        <w:t>118.55</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bidi="ar-SA"/>
        </w:rPr>
        <w:t>99.07</w:t>
      </w:r>
      <w:r>
        <w:rPr>
          <w:rFonts w:hint="eastAsia" w:ascii="仿宋_GB2312" w:hAnsi="仿宋_GB2312" w:eastAsia="仿宋_GB2312" w:cs="仿宋_GB2312"/>
          <w:color w:val="auto"/>
          <w:kern w:val="0"/>
          <w:sz w:val="32"/>
          <w:szCs w:val="32"/>
          <w:u w:val="none"/>
        </w:rPr>
        <w:t>万元，完成年初预算的</w:t>
      </w:r>
      <w:r>
        <w:rPr>
          <w:rFonts w:hint="eastAsia" w:ascii="Times New Roman" w:hAnsi="Times New Roman" w:eastAsia="仿宋_GB2312" w:cs="仿宋_GB2312"/>
          <w:color w:val="auto"/>
          <w:kern w:val="0"/>
          <w:sz w:val="32"/>
          <w:szCs w:val="32"/>
          <w:u w:val="none"/>
          <w:lang w:val="en-US" w:eastAsia="zh-CN" w:bidi="ar-SA"/>
        </w:rPr>
        <w:t>83.57</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。决算数与年初预算数的差异原因：</w:t>
      </w:r>
      <w:r>
        <w:rPr>
          <w:rFonts w:hint="eastAsia" w:ascii="仿宋_GB2312" w:hAnsi="仿宋_GB2312" w:eastAsia="仿宋_GB2312" w:cs="仿宋_GB2312"/>
          <w:color w:val="auto"/>
          <w:kern w:val="0"/>
          <w:sz w:val="32"/>
          <w:szCs w:val="32"/>
        </w:rPr>
        <w:t>我单位</w:t>
      </w:r>
      <w:r>
        <w:rPr>
          <w:rFonts w:hint="eastAsia" w:ascii="Times New Roman" w:hAnsi="Times New Roman" w:eastAsia="仿宋_GB2312" w:cs="仿宋_GB2312"/>
          <w:color w:val="auto"/>
          <w:kern w:val="0"/>
          <w:sz w:val="32"/>
          <w:szCs w:val="32"/>
          <w:u w:val="none"/>
          <w:lang w:val="en-US" w:eastAsia="zh-CN" w:bidi="ar-SA"/>
        </w:rPr>
        <w:t>2025</w:t>
      </w:r>
      <w:r>
        <w:rPr>
          <w:rFonts w:hint="eastAsia" w:ascii="仿宋_GB2312" w:hAnsi="仿宋_GB2312" w:eastAsia="仿宋_GB2312" w:cs="仿宋_GB2312"/>
          <w:color w:val="auto"/>
          <w:kern w:val="0"/>
          <w:sz w:val="32"/>
          <w:szCs w:val="32"/>
        </w:rPr>
        <w:t>年新增退休人员，机关事业单位基本养老保险缴费支出减少。</w:t>
      </w:r>
    </w:p>
    <w:p w14:paraId="657E8C7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u w:val="none"/>
          <w:lang w:val="en-US" w:eastAsia="zh-CN"/>
        </w:rPr>
        <w:t>3</w:t>
      </w:r>
      <w:r>
        <w:rPr>
          <w:rFonts w:hint="eastAsia" w:ascii="仿宋_GB2312" w:hAnsi="仿宋_GB2312" w:eastAsia="仿宋_GB2312" w:cs="仿宋_GB2312"/>
          <w:color w:val="auto"/>
          <w:kern w:val="0"/>
          <w:sz w:val="32"/>
          <w:szCs w:val="32"/>
          <w:u w:val="none"/>
          <w:lang w:val="en-US" w:eastAsia="zh-CN"/>
        </w:rPr>
        <w:t>.</w:t>
      </w:r>
      <w:r>
        <w:rPr>
          <w:rFonts w:hint="eastAsia" w:ascii="仿宋_GB2312" w:hAnsi="仿宋_GB2312" w:eastAsia="仿宋_GB2312" w:cs="仿宋_GB2312"/>
          <w:color w:val="auto"/>
          <w:kern w:val="0"/>
          <w:sz w:val="32"/>
          <w:szCs w:val="32"/>
          <w:u w:val="none"/>
        </w:rPr>
        <w:t>行政事业单位养老支出（款）机关事业单位职业年金缴费支出（项）。年初预算</w:t>
      </w:r>
      <w:r>
        <w:rPr>
          <w:rFonts w:hint="eastAsia" w:ascii="Times New Roman" w:hAnsi="Times New Roman" w:eastAsia="仿宋_GB2312" w:cs="仿宋_GB2312"/>
          <w:color w:val="auto"/>
          <w:kern w:val="0"/>
          <w:sz w:val="32"/>
          <w:szCs w:val="32"/>
          <w:u w:val="none"/>
          <w:lang w:val="en-US" w:eastAsia="zh-CN" w:bidi="ar-SA"/>
        </w:rPr>
        <w:t>59.28</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bidi="ar-SA"/>
        </w:rPr>
        <w:t>49.53</w:t>
      </w:r>
      <w:r>
        <w:rPr>
          <w:rFonts w:hint="eastAsia" w:ascii="仿宋_GB2312" w:hAnsi="仿宋_GB2312" w:eastAsia="仿宋_GB2312" w:cs="仿宋_GB2312"/>
          <w:color w:val="auto"/>
          <w:kern w:val="0"/>
          <w:sz w:val="32"/>
          <w:szCs w:val="32"/>
          <w:u w:val="none"/>
        </w:rPr>
        <w:t>万元，完成年初预算的</w:t>
      </w:r>
      <w:r>
        <w:rPr>
          <w:rFonts w:hint="eastAsia" w:ascii="Times New Roman" w:hAnsi="Times New Roman" w:eastAsia="仿宋_GB2312" w:cs="仿宋_GB2312"/>
          <w:color w:val="auto"/>
          <w:kern w:val="0"/>
          <w:sz w:val="32"/>
          <w:szCs w:val="32"/>
          <w:u w:val="none"/>
          <w:lang w:val="en-US" w:eastAsia="zh-CN" w:bidi="ar-SA"/>
        </w:rPr>
        <w:t>83.55</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。决算数与年初预算数的差异原因：</w:t>
      </w:r>
      <w:r>
        <w:rPr>
          <w:rFonts w:hint="eastAsia" w:ascii="仿宋_GB2312" w:hAnsi="仿宋_GB2312" w:eastAsia="仿宋_GB2312" w:cs="仿宋_GB2312"/>
          <w:color w:val="auto"/>
          <w:kern w:val="0"/>
          <w:sz w:val="32"/>
          <w:szCs w:val="32"/>
        </w:rPr>
        <w:t>我单位</w:t>
      </w:r>
      <w:r>
        <w:rPr>
          <w:rFonts w:hint="eastAsia" w:ascii="Times New Roman" w:hAnsi="Times New Roman" w:eastAsia="仿宋_GB2312" w:cs="仿宋_GB2312"/>
          <w:color w:val="auto"/>
          <w:kern w:val="0"/>
          <w:sz w:val="32"/>
          <w:szCs w:val="32"/>
          <w:u w:val="none"/>
          <w:lang w:val="en-US" w:eastAsia="zh-CN" w:bidi="ar-SA"/>
        </w:rPr>
        <w:t>2025</w:t>
      </w:r>
      <w:r>
        <w:rPr>
          <w:rFonts w:hint="eastAsia" w:ascii="仿宋_GB2312" w:hAnsi="仿宋_GB2312" w:eastAsia="仿宋_GB2312" w:cs="仿宋_GB2312"/>
          <w:color w:val="auto"/>
          <w:kern w:val="0"/>
          <w:sz w:val="32"/>
          <w:szCs w:val="32"/>
        </w:rPr>
        <w:t>年新增退休人员，机关事业单位职业年金缴费支出减少。</w:t>
      </w:r>
    </w:p>
    <w:p w14:paraId="749849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Times New Roman" w:hAnsi="Times New Roman" w:eastAsia="仿宋_GB2312" w:cs="仿宋_GB2312"/>
          <w:color w:val="auto"/>
          <w:kern w:val="0"/>
          <w:sz w:val="32"/>
          <w:szCs w:val="32"/>
          <w:lang w:eastAsia="zh-CN"/>
        </w:rPr>
        <w:t>4</w:t>
      </w:r>
      <w:r>
        <w:rPr>
          <w:rFonts w:hint="eastAsia" w:ascii="仿宋_GB2312" w:hAnsi="仿宋_GB2312" w:eastAsia="仿宋_GB2312" w:cs="仿宋_GB2312"/>
          <w:color w:val="auto"/>
          <w:kern w:val="0"/>
          <w:sz w:val="32"/>
          <w:szCs w:val="32"/>
        </w:rPr>
        <w:t>.抚恤（款）死亡抚恤（项）。年初预算</w:t>
      </w:r>
      <w:r>
        <w:rPr>
          <w:rFonts w:hint="eastAsia" w:ascii="Times New Roman" w:hAnsi="Times New Roman" w:eastAsia="仿宋_GB2312" w:cs="仿宋_GB2312"/>
          <w:color w:val="auto"/>
          <w:kern w:val="0"/>
          <w:sz w:val="32"/>
          <w:szCs w:val="32"/>
          <w:u w:val="none"/>
          <w:lang w:val="en-US" w:eastAsia="zh-CN" w:bidi="ar-SA"/>
        </w:rPr>
        <w:t>0.00</w:t>
      </w:r>
      <w:r>
        <w:rPr>
          <w:rFonts w:hint="eastAsia" w:ascii="仿宋_GB2312" w:hAnsi="仿宋_GB2312" w:eastAsia="仿宋_GB2312" w:cs="仿宋_GB2312"/>
          <w:color w:val="auto"/>
          <w:kern w:val="0"/>
          <w:sz w:val="32"/>
          <w:szCs w:val="32"/>
        </w:rPr>
        <w:t>万元，支出决算</w:t>
      </w:r>
      <w:r>
        <w:rPr>
          <w:rFonts w:hint="eastAsia" w:ascii="Times New Roman" w:hAnsi="Times New Roman" w:eastAsia="仿宋_GB2312" w:cs="仿宋_GB2312"/>
          <w:color w:val="auto"/>
          <w:kern w:val="0"/>
          <w:sz w:val="32"/>
          <w:szCs w:val="32"/>
          <w:u w:val="none"/>
          <w:lang w:val="en-US" w:eastAsia="zh-CN" w:bidi="ar-SA"/>
        </w:rPr>
        <w:t>86.70</w:t>
      </w:r>
      <w:r>
        <w:rPr>
          <w:rFonts w:hint="eastAsia" w:ascii="仿宋_GB2312" w:hAnsi="仿宋_GB2312" w:eastAsia="仿宋_GB2312" w:cs="仿宋_GB2312"/>
          <w:color w:val="auto"/>
          <w:kern w:val="0"/>
          <w:sz w:val="32"/>
          <w:szCs w:val="32"/>
        </w:rPr>
        <w:t>万元，完成年初预算的</w:t>
      </w:r>
      <w:r>
        <w:rPr>
          <w:rFonts w:hint="eastAsia" w:ascii="Times New Roman" w:hAnsi="Times New Roman" w:eastAsia="仿宋_GB2312" w:cs="仿宋_GB2312"/>
          <w:color w:val="auto"/>
          <w:kern w:val="0"/>
          <w:sz w:val="32"/>
          <w:szCs w:val="32"/>
          <w:u w:val="none"/>
          <w:lang w:val="en-US" w:eastAsia="zh-CN" w:bidi="ar-SA"/>
        </w:rPr>
        <w:t>0.00</w:t>
      </w:r>
      <w:r>
        <w:rPr>
          <w:rFonts w:hint="eastAsia" w:ascii="仿宋_GB2312" w:hAnsi="仿宋_GB2312" w:eastAsia="仿宋_GB2312" w:cs="仿宋_GB2312"/>
          <w:color w:val="auto"/>
          <w:kern w:val="0"/>
          <w:sz w:val="32"/>
          <w:szCs w:val="32"/>
        </w:rPr>
        <w:t>%。决算数与年初预算数的差异原因：按照财政要求，抚恤金为年底一次性清算增加。</w:t>
      </w:r>
    </w:p>
    <w:p w14:paraId="77A91A80">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w:t>
      </w:r>
      <w:r>
        <w:rPr>
          <w:rFonts w:hint="eastAsia" w:ascii="楷体_GB2312" w:hAnsi="楷体_GB2312" w:eastAsia="楷体_GB2312" w:cs="楷体_GB2312"/>
          <w:b/>
          <w:bCs/>
          <w:color w:val="auto"/>
          <w:kern w:val="0"/>
          <w:sz w:val="32"/>
          <w:szCs w:val="32"/>
          <w:lang w:val="en-US" w:eastAsia="zh-CN"/>
        </w:rPr>
        <w:t>三</w:t>
      </w:r>
      <w:r>
        <w:rPr>
          <w:rFonts w:hint="eastAsia" w:ascii="楷体_GB2312" w:hAnsi="楷体_GB2312" w:eastAsia="楷体_GB2312" w:cs="楷体_GB2312"/>
          <w:b/>
          <w:bCs/>
          <w:color w:val="auto"/>
          <w:kern w:val="0"/>
          <w:sz w:val="32"/>
          <w:szCs w:val="32"/>
        </w:rPr>
        <w:t>）卫生健康支出（类）</w:t>
      </w:r>
    </w:p>
    <w:p w14:paraId="38578968">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仿宋_GB2312" w:cs="仿宋_GB2312"/>
          <w:color w:val="auto"/>
          <w:kern w:val="0"/>
          <w:sz w:val="32"/>
          <w:szCs w:val="32"/>
          <w:u w:val="none"/>
          <w:lang w:val="en-US" w:eastAsia="zh-CN" w:bidi="ar-SA"/>
        </w:rPr>
      </w:pPr>
      <w:r>
        <w:rPr>
          <w:rFonts w:hint="eastAsia" w:ascii="仿宋_GB2312" w:hAnsi="仿宋_GB2312" w:eastAsia="仿宋_GB2312" w:cs="仿宋_GB2312"/>
          <w:color w:val="auto"/>
          <w:kern w:val="0"/>
          <w:sz w:val="32"/>
          <w:szCs w:val="32"/>
          <w:u w:val="none"/>
        </w:rPr>
        <w:t>卫生健康支出（类）决算数为</w:t>
      </w:r>
      <w:r>
        <w:rPr>
          <w:rFonts w:hint="eastAsia" w:ascii="Times New Roman" w:hAnsi="Times New Roman" w:eastAsia="仿宋_GB2312" w:cs="仿宋_GB2312"/>
          <w:color w:val="auto"/>
          <w:kern w:val="0"/>
          <w:sz w:val="32"/>
          <w:szCs w:val="32"/>
          <w:u w:val="none"/>
          <w:lang w:val="en-US" w:eastAsia="zh-CN" w:bidi="ar-SA"/>
        </w:rPr>
        <w:t>126</w:t>
      </w:r>
      <w:r>
        <w:rPr>
          <w:rFonts w:hint="eastAsia" w:ascii="Times New Roman" w:hAnsi="Times New Roman" w:eastAsia="仿宋_GB2312" w:cs="仿宋_GB2312"/>
          <w:color w:val="auto"/>
          <w:kern w:val="0"/>
          <w:sz w:val="32"/>
          <w:szCs w:val="32"/>
          <w:u w:val="none"/>
          <w:lang w:val="en-US" w:eastAsia="en-US" w:bidi="ar-SA"/>
        </w:rPr>
        <w:t>.</w:t>
      </w:r>
      <w:r>
        <w:rPr>
          <w:rFonts w:hint="eastAsia" w:ascii="Times New Roman" w:hAnsi="Times New Roman" w:eastAsia="仿宋_GB2312" w:cs="仿宋_GB2312"/>
          <w:color w:val="auto"/>
          <w:kern w:val="0"/>
          <w:sz w:val="32"/>
          <w:szCs w:val="32"/>
          <w:u w:val="none"/>
          <w:lang w:val="en-US" w:eastAsia="zh-CN" w:bidi="ar-SA"/>
        </w:rPr>
        <w:t>32万元，与年初预算相比增加1</w:t>
      </w:r>
      <w:r>
        <w:rPr>
          <w:rFonts w:hint="eastAsia" w:ascii="Times New Roman" w:hAnsi="Times New Roman" w:eastAsia="仿宋_GB2312" w:cs="仿宋_GB2312"/>
          <w:color w:val="auto"/>
          <w:kern w:val="0"/>
          <w:sz w:val="32"/>
          <w:szCs w:val="32"/>
          <w:u w:val="none"/>
          <w:lang w:val="en-US" w:eastAsia="en-US" w:bidi="ar-SA"/>
        </w:rPr>
        <w:t>.</w:t>
      </w:r>
      <w:r>
        <w:rPr>
          <w:rFonts w:hint="eastAsia" w:ascii="Times New Roman" w:hAnsi="Times New Roman" w:eastAsia="仿宋_GB2312" w:cs="仿宋_GB2312"/>
          <w:color w:val="auto"/>
          <w:kern w:val="0"/>
          <w:sz w:val="32"/>
          <w:szCs w:val="32"/>
          <w:u w:val="none"/>
          <w:lang w:val="en-US" w:eastAsia="zh-CN" w:bidi="ar-SA"/>
        </w:rPr>
        <w:t>62万元。其中：</w:t>
      </w:r>
    </w:p>
    <w:p w14:paraId="08AE4E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color w:val="auto"/>
          <w:kern w:val="0"/>
          <w:sz w:val="32"/>
          <w:szCs w:val="32"/>
          <w:u w:val="none"/>
          <w:lang w:eastAsia="zh-CN"/>
        </w:rPr>
        <w:t>1</w:t>
      </w:r>
      <w:r>
        <w:rPr>
          <w:rFonts w:hint="eastAsia" w:ascii="仿宋_GB2312" w:hAnsi="仿宋_GB2312" w:eastAsia="仿宋_GB2312" w:cs="仿宋_GB2312"/>
          <w:color w:val="auto"/>
          <w:kern w:val="0"/>
          <w:sz w:val="32"/>
          <w:szCs w:val="32"/>
          <w:u w:val="none"/>
          <w:lang w:val="en-US" w:eastAsia="zh-CN"/>
        </w:rPr>
        <w:t>.</w:t>
      </w:r>
      <w:r>
        <w:rPr>
          <w:rFonts w:hint="eastAsia" w:ascii="仿宋_GB2312" w:hAnsi="仿宋_GB2312" w:eastAsia="仿宋_GB2312" w:cs="仿宋_GB2312"/>
          <w:color w:val="auto"/>
          <w:kern w:val="0"/>
          <w:sz w:val="32"/>
          <w:szCs w:val="32"/>
          <w:u w:val="none"/>
        </w:rPr>
        <w:t>行政事业单位医疗（款）行政单位医疗（项）。年初预算</w:t>
      </w:r>
      <w:r>
        <w:rPr>
          <w:rFonts w:hint="eastAsia" w:ascii="Times New Roman" w:hAnsi="Times New Roman" w:eastAsia="仿宋_GB2312" w:cs="仿宋_GB2312"/>
          <w:color w:val="auto"/>
          <w:kern w:val="0"/>
          <w:sz w:val="32"/>
          <w:szCs w:val="32"/>
          <w:u w:val="none"/>
          <w:lang w:val="en-US" w:eastAsia="zh-CN" w:bidi="ar-SA"/>
        </w:rPr>
        <w:t>71.52</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bidi="ar-SA"/>
        </w:rPr>
        <w:t>81.84</w:t>
      </w:r>
      <w:r>
        <w:rPr>
          <w:rFonts w:hint="eastAsia" w:ascii="仿宋_GB2312" w:hAnsi="仿宋_GB2312" w:eastAsia="仿宋_GB2312" w:cs="仿宋_GB2312"/>
          <w:color w:val="auto"/>
          <w:kern w:val="0"/>
          <w:sz w:val="32"/>
          <w:szCs w:val="32"/>
          <w:u w:val="none"/>
        </w:rPr>
        <w:t>万元，完成年初预算的</w:t>
      </w:r>
      <w:r>
        <w:rPr>
          <w:rFonts w:hint="eastAsia" w:ascii="Times New Roman" w:hAnsi="Times New Roman" w:eastAsia="仿宋_GB2312" w:cs="仿宋_GB2312"/>
          <w:color w:val="auto"/>
          <w:kern w:val="0"/>
          <w:sz w:val="32"/>
          <w:szCs w:val="32"/>
          <w:u w:val="none"/>
          <w:lang w:val="en-US" w:eastAsia="zh-CN" w:bidi="ar-SA"/>
        </w:rPr>
        <w:t>114.43</w:t>
      </w:r>
      <w:r>
        <w:rPr>
          <w:rFonts w:hint="eastAsia" w:ascii="Times New Roman" w:hAnsi="Times New Roman" w:eastAsia="仿宋_GB2312" w:cs="仿宋_GB2312"/>
          <w:color w:val="auto"/>
          <w:kern w:val="0"/>
          <w:sz w:val="32"/>
          <w:szCs w:val="32"/>
          <w:u w:val="none"/>
          <w:lang w:val="en-US" w:eastAsia="en-US" w:bidi="ar-SA"/>
        </w:rPr>
        <w:t>%</w:t>
      </w:r>
      <w:r>
        <w:rPr>
          <w:rFonts w:hint="eastAsia" w:ascii="Times New Roman" w:hAnsi="Times New Roman" w:eastAsia="仿宋_GB2312" w:cs="仿宋_GB2312"/>
          <w:color w:val="auto"/>
          <w:kern w:val="0"/>
          <w:sz w:val="32"/>
          <w:szCs w:val="32"/>
          <w:u w:val="none"/>
          <w:lang w:val="en-US" w:eastAsia="zh-CN" w:bidi="ar-SA"/>
        </w:rPr>
        <w:t>。决算数与年初预算数的差异原因：2025年行政单位</w:t>
      </w:r>
      <w:r>
        <w:rPr>
          <w:rFonts w:hint="eastAsia" w:ascii="仿宋_GB2312" w:hAnsi="仿宋_GB2312" w:eastAsia="仿宋_GB2312" w:cs="仿宋_GB2312"/>
          <w:color w:val="auto"/>
          <w:kern w:val="0"/>
          <w:sz w:val="32"/>
          <w:szCs w:val="32"/>
        </w:rPr>
        <w:t>医疗计提基数增加。</w:t>
      </w:r>
    </w:p>
    <w:p w14:paraId="59F230A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color w:val="auto"/>
          <w:kern w:val="0"/>
          <w:sz w:val="32"/>
          <w:szCs w:val="32"/>
          <w:u w:val="none"/>
          <w:lang w:val="en-US" w:eastAsia="zh-CN"/>
        </w:rPr>
        <w:t>2</w:t>
      </w:r>
      <w:r>
        <w:rPr>
          <w:rFonts w:hint="eastAsia" w:ascii="仿宋_GB2312" w:hAnsi="仿宋_GB2312" w:eastAsia="仿宋_GB2312" w:cs="仿宋_GB2312"/>
          <w:color w:val="auto"/>
          <w:kern w:val="0"/>
          <w:sz w:val="32"/>
          <w:szCs w:val="32"/>
          <w:u w:val="none"/>
          <w:lang w:val="en-US" w:eastAsia="zh-CN"/>
        </w:rPr>
        <w:t>.</w:t>
      </w:r>
      <w:r>
        <w:rPr>
          <w:rFonts w:hint="eastAsia" w:ascii="仿宋_GB2312" w:hAnsi="仿宋_GB2312" w:eastAsia="仿宋_GB2312" w:cs="仿宋_GB2312"/>
          <w:color w:val="auto"/>
          <w:kern w:val="0"/>
          <w:sz w:val="32"/>
          <w:szCs w:val="32"/>
          <w:u w:val="none"/>
        </w:rPr>
        <w:t>行政事业单位医疗（款）公务员医疗补助（项）。年初预算</w:t>
      </w:r>
      <w:r>
        <w:rPr>
          <w:rFonts w:hint="eastAsia" w:ascii="Times New Roman" w:hAnsi="Times New Roman" w:eastAsia="仿宋_GB2312" w:cs="仿宋_GB2312"/>
          <w:color w:val="auto"/>
          <w:kern w:val="0"/>
          <w:sz w:val="32"/>
          <w:szCs w:val="32"/>
          <w:u w:val="none"/>
          <w:lang w:val="en-US" w:eastAsia="zh-CN" w:bidi="ar-SA"/>
        </w:rPr>
        <w:t>53.18</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bidi="ar-SA"/>
        </w:rPr>
        <w:t>44.48</w:t>
      </w:r>
      <w:r>
        <w:rPr>
          <w:rFonts w:hint="eastAsia" w:ascii="仿宋_GB2312" w:hAnsi="仿宋_GB2312" w:eastAsia="仿宋_GB2312" w:cs="仿宋_GB2312"/>
          <w:color w:val="auto"/>
          <w:kern w:val="0"/>
          <w:sz w:val="32"/>
          <w:szCs w:val="32"/>
          <w:u w:val="none"/>
        </w:rPr>
        <w:t>万元，完成年初预算的</w:t>
      </w:r>
      <w:r>
        <w:rPr>
          <w:rFonts w:hint="eastAsia" w:ascii="Times New Roman" w:hAnsi="Times New Roman" w:eastAsia="仿宋_GB2312" w:cs="仿宋_GB2312"/>
          <w:color w:val="auto"/>
          <w:kern w:val="0"/>
          <w:sz w:val="32"/>
          <w:szCs w:val="32"/>
          <w:u w:val="none"/>
          <w:lang w:val="en-US" w:eastAsia="zh-CN" w:bidi="ar-SA"/>
        </w:rPr>
        <w:t>83.64</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。决算数与年初预算数的差异原因：</w:t>
      </w:r>
      <w:r>
        <w:rPr>
          <w:rFonts w:hint="eastAsia" w:ascii="仿宋_GB2312" w:hAnsi="仿宋_GB2312" w:eastAsia="仿宋_GB2312" w:cs="仿宋_GB2312"/>
          <w:color w:val="auto"/>
          <w:kern w:val="0"/>
          <w:sz w:val="32"/>
          <w:szCs w:val="32"/>
        </w:rPr>
        <w:t>我单位</w:t>
      </w:r>
      <w:r>
        <w:rPr>
          <w:rFonts w:hint="eastAsia" w:ascii="Times New Roman" w:hAnsi="Times New Roman" w:eastAsia="仿宋_GB2312" w:cs="仿宋_GB2312"/>
          <w:color w:val="auto"/>
          <w:kern w:val="0"/>
          <w:sz w:val="32"/>
          <w:szCs w:val="32"/>
          <w:u w:val="none"/>
          <w:lang w:val="en-US" w:eastAsia="zh-CN" w:bidi="ar-SA"/>
        </w:rPr>
        <w:t>2025</w:t>
      </w:r>
      <w:r>
        <w:rPr>
          <w:rFonts w:hint="eastAsia" w:ascii="仿宋_GB2312" w:hAnsi="仿宋_GB2312" w:eastAsia="仿宋_GB2312" w:cs="仿宋_GB2312"/>
          <w:color w:val="auto"/>
          <w:kern w:val="0"/>
          <w:sz w:val="32"/>
          <w:szCs w:val="32"/>
        </w:rPr>
        <w:t>年新增退休人员，公务员医疗补助支出减少。</w:t>
      </w:r>
    </w:p>
    <w:p w14:paraId="7807C442">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w:t>
      </w:r>
      <w:r>
        <w:rPr>
          <w:rFonts w:hint="eastAsia" w:ascii="楷体_GB2312" w:hAnsi="楷体_GB2312" w:eastAsia="楷体_GB2312" w:cs="楷体_GB2312"/>
          <w:b/>
          <w:bCs/>
          <w:color w:val="auto"/>
          <w:kern w:val="0"/>
          <w:sz w:val="32"/>
          <w:szCs w:val="32"/>
          <w:lang w:val="en-US" w:eastAsia="zh-CN"/>
        </w:rPr>
        <w:t>四</w:t>
      </w:r>
      <w:r>
        <w:rPr>
          <w:rFonts w:hint="eastAsia" w:ascii="楷体_GB2312" w:hAnsi="楷体_GB2312" w:eastAsia="楷体_GB2312" w:cs="楷体_GB2312"/>
          <w:b/>
          <w:bCs/>
          <w:color w:val="auto"/>
          <w:kern w:val="0"/>
          <w:sz w:val="32"/>
          <w:szCs w:val="32"/>
        </w:rPr>
        <w:t>）住房保障支出（类）</w:t>
      </w:r>
    </w:p>
    <w:p w14:paraId="0B4D5ED5">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住房保障支出（类）决算数为</w:t>
      </w:r>
      <w:r>
        <w:rPr>
          <w:rFonts w:hint="eastAsia" w:ascii="Times New Roman" w:hAnsi="Times New Roman" w:eastAsia="仿宋_GB2312" w:cs="仿宋_GB2312"/>
          <w:color w:val="auto"/>
          <w:kern w:val="0"/>
          <w:sz w:val="32"/>
          <w:szCs w:val="32"/>
          <w:u w:val="none"/>
          <w:lang w:val="en-US" w:eastAsia="zh-CN" w:bidi="ar-SA"/>
        </w:rPr>
        <w:t>122</w:t>
      </w:r>
      <w:r>
        <w:rPr>
          <w:rFonts w:hint="eastAsia" w:ascii="Times New Roman" w:hAnsi="Times New Roman" w:eastAsia="仿宋_GB2312" w:cs="仿宋_GB2312"/>
          <w:color w:val="auto"/>
          <w:kern w:val="0"/>
          <w:sz w:val="32"/>
          <w:szCs w:val="32"/>
          <w:u w:val="none"/>
          <w:lang w:val="en-US" w:eastAsia="en-US" w:bidi="ar-SA"/>
        </w:rPr>
        <w:t>.</w:t>
      </w:r>
      <w:r>
        <w:rPr>
          <w:rFonts w:hint="eastAsia" w:ascii="Times New Roman" w:hAnsi="Times New Roman" w:eastAsia="仿宋_GB2312" w:cs="仿宋_GB2312"/>
          <w:color w:val="auto"/>
          <w:kern w:val="0"/>
          <w:sz w:val="32"/>
          <w:szCs w:val="32"/>
          <w:u w:val="none"/>
          <w:lang w:val="en-US" w:eastAsia="zh-CN" w:bidi="ar-SA"/>
        </w:rPr>
        <w:t>20</w:t>
      </w:r>
      <w:r>
        <w:rPr>
          <w:rFonts w:hint="eastAsia" w:ascii="仿宋_GB2312" w:hAnsi="仿宋_GB2312" w:eastAsia="仿宋_GB2312" w:cs="仿宋_GB2312"/>
          <w:color w:val="auto"/>
          <w:kern w:val="0"/>
          <w:sz w:val="32"/>
          <w:szCs w:val="32"/>
          <w:u w:val="none"/>
        </w:rPr>
        <w:t>万元，与年初预算相比减少</w:t>
      </w:r>
      <w:r>
        <w:rPr>
          <w:rFonts w:hint="eastAsia" w:ascii="Times New Roman" w:hAnsi="Times New Roman" w:eastAsia="仿宋_GB2312" w:cs="仿宋_GB2312"/>
          <w:color w:val="auto"/>
          <w:kern w:val="0"/>
          <w:sz w:val="32"/>
          <w:szCs w:val="32"/>
          <w:u w:val="none"/>
          <w:lang w:val="en-US" w:eastAsia="zh-CN" w:bidi="ar-SA"/>
        </w:rPr>
        <w:t>30</w:t>
      </w:r>
      <w:r>
        <w:rPr>
          <w:rFonts w:hint="eastAsia" w:ascii="Times New Roman" w:hAnsi="Times New Roman" w:eastAsia="仿宋_GB2312" w:cs="仿宋_GB2312"/>
          <w:color w:val="auto"/>
          <w:kern w:val="0"/>
          <w:sz w:val="32"/>
          <w:szCs w:val="32"/>
          <w:u w:val="none"/>
          <w:lang w:val="en-US" w:eastAsia="en-US" w:bidi="ar-SA"/>
        </w:rPr>
        <w:t>.</w:t>
      </w:r>
      <w:r>
        <w:rPr>
          <w:rFonts w:hint="eastAsia" w:ascii="Times New Roman" w:hAnsi="Times New Roman" w:eastAsia="仿宋_GB2312" w:cs="仿宋_GB2312"/>
          <w:color w:val="auto"/>
          <w:kern w:val="0"/>
          <w:sz w:val="32"/>
          <w:szCs w:val="32"/>
          <w:u w:val="none"/>
          <w:lang w:val="en-US" w:eastAsia="zh-CN" w:bidi="ar-SA"/>
        </w:rPr>
        <w:t>53</w:t>
      </w:r>
      <w:r>
        <w:rPr>
          <w:rFonts w:hint="eastAsia" w:ascii="仿宋_GB2312" w:hAnsi="仿宋_GB2312" w:eastAsia="仿宋_GB2312" w:cs="仿宋_GB2312"/>
          <w:color w:val="auto"/>
          <w:kern w:val="0"/>
          <w:sz w:val="32"/>
          <w:szCs w:val="32"/>
          <w:u w:val="none"/>
        </w:rPr>
        <w:t>万元。其中：</w:t>
      </w:r>
    </w:p>
    <w:p w14:paraId="13E5C77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住房改革支出（款）住房公积金（项）。年初预算</w:t>
      </w:r>
      <w:r>
        <w:rPr>
          <w:rFonts w:hint="eastAsia" w:ascii="Times New Roman" w:hAnsi="Times New Roman" w:eastAsia="仿宋_GB2312" w:cs="仿宋_GB2312"/>
          <w:color w:val="auto"/>
          <w:kern w:val="0"/>
          <w:sz w:val="32"/>
          <w:szCs w:val="32"/>
          <w:u w:val="none"/>
          <w:lang w:val="en-US" w:eastAsia="zh-CN" w:bidi="ar-SA"/>
        </w:rPr>
        <w:t>152.73</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bidi="ar-SA"/>
        </w:rPr>
        <w:t>122.20</w:t>
      </w:r>
      <w:r>
        <w:rPr>
          <w:rFonts w:hint="eastAsia" w:ascii="仿宋_GB2312" w:hAnsi="仿宋_GB2312" w:eastAsia="仿宋_GB2312" w:cs="仿宋_GB2312"/>
          <w:color w:val="auto"/>
          <w:kern w:val="0"/>
          <w:sz w:val="32"/>
          <w:szCs w:val="32"/>
          <w:u w:val="none"/>
        </w:rPr>
        <w:t>万元，完成年初预算的</w:t>
      </w:r>
      <w:r>
        <w:rPr>
          <w:rFonts w:hint="eastAsia" w:ascii="Times New Roman" w:hAnsi="Times New Roman" w:eastAsia="仿宋_GB2312" w:cs="仿宋_GB2312"/>
          <w:color w:val="auto"/>
          <w:kern w:val="0"/>
          <w:sz w:val="32"/>
          <w:szCs w:val="32"/>
          <w:u w:val="none"/>
          <w:lang w:val="en-US" w:eastAsia="zh-CN" w:bidi="ar-SA"/>
        </w:rPr>
        <w:t>80.01</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。决算数与年初预算数的差异原因：</w:t>
      </w:r>
      <w:r>
        <w:rPr>
          <w:rFonts w:hint="eastAsia" w:ascii="仿宋_GB2312" w:hAnsi="仿宋_GB2312" w:eastAsia="仿宋_GB2312" w:cs="仿宋_GB2312"/>
          <w:color w:val="auto"/>
          <w:kern w:val="0"/>
          <w:sz w:val="32"/>
          <w:szCs w:val="32"/>
        </w:rPr>
        <w:t>我单位</w:t>
      </w:r>
      <w:r>
        <w:rPr>
          <w:rFonts w:hint="eastAsia" w:ascii="Times New Roman" w:hAnsi="Times New Roman" w:eastAsia="仿宋_GB2312" w:cs="仿宋_GB2312"/>
          <w:color w:val="auto"/>
          <w:kern w:val="0"/>
          <w:sz w:val="32"/>
          <w:szCs w:val="32"/>
          <w:u w:val="none"/>
          <w:lang w:val="en-US" w:eastAsia="zh-CN" w:bidi="ar-SA"/>
        </w:rPr>
        <w:t>2025</w:t>
      </w:r>
      <w:r>
        <w:rPr>
          <w:rFonts w:hint="eastAsia" w:ascii="仿宋_GB2312" w:hAnsi="仿宋_GB2312" w:eastAsia="仿宋_GB2312" w:cs="仿宋_GB2312"/>
          <w:color w:val="auto"/>
          <w:kern w:val="0"/>
          <w:sz w:val="32"/>
          <w:szCs w:val="32"/>
        </w:rPr>
        <w:t>年新增退休人员，住房公积金缴费支出减少。</w:t>
      </w:r>
    </w:p>
    <w:p w14:paraId="56C3BFC4">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Times New Roman" w:hAnsi="Times New Roman" w:eastAsia="Times New Roman" w:cs="Times New Roman"/>
          <w:b w:val="0"/>
          <w:bCs w:val="0"/>
          <w:color w:val="auto"/>
          <w:kern w:val="0"/>
          <w:sz w:val="32"/>
          <w:szCs w:val="32"/>
        </w:rPr>
      </w:pPr>
      <w:r>
        <w:rPr>
          <w:rFonts w:ascii="黑体" w:hAnsi="黑体" w:eastAsia="黑体" w:cs="黑体"/>
          <w:b w:val="0"/>
          <w:bCs w:val="0"/>
          <w:color w:val="auto"/>
          <w:kern w:val="0"/>
          <w:sz w:val="32"/>
          <w:szCs w:val="32"/>
        </w:rPr>
        <w:t>六、一般公共预算财政拨款基本支出决算情况说明</w:t>
      </w:r>
    </w:p>
    <w:p w14:paraId="3E51F03B">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eastAsia="zh-CN"/>
        </w:rPr>
        <w:t>2</w:t>
      </w:r>
      <w:r>
        <w:rPr>
          <w:rFonts w:hint="eastAsia" w:ascii="Times New Roman" w:hAnsi="Times New Roman" w:eastAsia="仿宋_GB2312" w:cs="仿宋_GB2312"/>
          <w:color w:val="auto"/>
          <w:kern w:val="0"/>
          <w:sz w:val="32"/>
          <w:szCs w:val="32"/>
          <w:u w:val="none"/>
          <w:lang w:val="en-US" w:eastAsia="zh-CN" w:bidi="ar-SA"/>
        </w:rPr>
        <w:t>025</w:t>
      </w:r>
      <w:r>
        <w:rPr>
          <w:rFonts w:hint="eastAsia" w:ascii="仿宋_GB2312" w:hAnsi="仿宋_GB2312" w:eastAsia="仿宋_GB2312" w:cs="仿宋_GB2312"/>
          <w:color w:val="auto"/>
          <w:kern w:val="0"/>
          <w:sz w:val="32"/>
          <w:szCs w:val="32"/>
          <w:u w:val="none"/>
        </w:rPr>
        <w:t>年度一般公共预算财政拨款基本支出决算</w:t>
      </w:r>
      <w:r>
        <w:rPr>
          <w:rFonts w:hint="eastAsia" w:ascii="Times New Roman" w:hAnsi="Times New Roman" w:eastAsia="仿宋_GB2312" w:cs="仿宋_GB2312"/>
          <w:color w:val="auto"/>
          <w:kern w:val="0"/>
          <w:sz w:val="32"/>
          <w:szCs w:val="32"/>
          <w:u w:val="none"/>
          <w:lang w:val="en-US" w:eastAsia="zh-CN" w:bidi="ar-SA"/>
        </w:rPr>
        <w:t>1,754</w:t>
      </w:r>
      <w:r>
        <w:rPr>
          <w:rFonts w:hint="eastAsia" w:ascii="Times New Roman" w:hAnsi="Times New Roman" w:eastAsia="仿宋_GB2312" w:cs="仿宋_GB2312"/>
          <w:color w:val="auto"/>
          <w:kern w:val="0"/>
          <w:sz w:val="32"/>
          <w:szCs w:val="32"/>
          <w:u w:val="none"/>
          <w:lang w:val="en-US" w:eastAsia="en-US" w:bidi="ar-SA"/>
        </w:rPr>
        <w:t>.</w:t>
      </w:r>
      <w:r>
        <w:rPr>
          <w:rFonts w:hint="eastAsia" w:ascii="Times New Roman" w:hAnsi="Times New Roman" w:eastAsia="仿宋_GB2312" w:cs="仿宋_GB2312"/>
          <w:color w:val="auto"/>
          <w:kern w:val="0"/>
          <w:sz w:val="32"/>
          <w:szCs w:val="32"/>
          <w:u w:val="none"/>
          <w:lang w:val="en-US" w:eastAsia="zh-CN" w:bidi="ar-SA"/>
        </w:rPr>
        <w:t>04</w:t>
      </w:r>
      <w:r>
        <w:rPr>
          <w:rFonts w:hint="eastAsia" w:ascii="仿宋_GB2312" w:hAnsi="仿宋_GB2312" w:eastAsia="仿宋_GB2312" w:cs="仿宋_GB2312"/>
          <w:color w:val="auto"/>
          <w:kern w:val="0"/>
          <w:sz w:val="32"/>
          <w:szCs w:val="32"/>
          <w:u w:val="none"/>
        </w:rPr>
        <w:t>万元，其中：</w:t>
      </w:r>
    </w:p>
    <w:p w14:paraId="0A03D2B8">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b/>
          <w:bCs/>
          <w:color w:val="auto"/>
          <w:kern w:val="0"/>
          <w:sz w:val="32"/>
          <w:szCs w:val="32"/>
          <w:u w:val="none"/>
        </w:rPr>
        <w:t>（一）人员经费</w:t>
      </w:r>
      <w:r>
        <w:rPr>
          <w:rFonts w:hint="eastAsia" w:ascii="Times New Roman" w:hAnsi="Times New Roman" w:eastAsia="仿宋_GB2312" w:cs="仿宋_GB2312"/>
          <w:b/>
          <w:bCs/>
          <w:color w:val="auto"/>
          <w:kern w:val="0"/>
          <w:sz w:val="32"/>
          <w:szCs w:val="32"/>
          <w:u w:val="none"/>
          <w:lang w:val="en-US" w:eastAsia="zh-CN" w:bidi="ar-SA"/>
        </w:rPr>
        <w:t>1,516</w:t>
      </w:r>
      <w:r>
        <w:rPr>
          <w:rFonts w:hint="eastAsia" w:ascii="Times New Roman" w:hAnsi="Times New Roman" w:eastAsia="仿宋_GB2312" w:cs="仿宋_GB2312"/>
          <w:b/>
          <w:bCs/>
          <w:color w:val="auto"/>
          <w:kern w:val="0"/>
          <w:sz w:val="32"/>
          <w:szCs w:val="32"/>
          <w:u w:val="none"/>
          <w:lang w:val="en-US" w:eastAsia="en-US" w:bidi="ar-SA"/>
        </w:rPr>
        <w:t>.</w:t>
      </w:r>
      <w:r>
        <w:rPr>
          <w:rFonts w:hint="eastAsia" w:ascii="Times New Roman" w:hAnsi="Times New Roman" w:eastAsia="仿宋_GB2312" w:cs="仿宋_GB2312"/>
          <w:b/>
          <w:bCs/>
          <w:color w:val="auto"/>
          <w:kern w:val="0"/>
          <w:sz w:val="32"/>
          <w:szCs w:val="32"/>
          <w:u w:val="none"/>
          <w:lang w:val="en-US" w:eastAsia="zh-CN" w:bidi="ar-SA"/>
        </w:rPr>
        <w:t>62</w:t>
      </w:r>
      <w:r>
        <w:rPr>
          <w:rFonts w:hint="eastAsia" w:ascii="仿宋_GB2312" w:hAnsi="仿宋_GB2312" w:eastAsia="仿宋_GB2312" w:cs="仿宋_GB2312"/>
          <w:b/>
          <w:bCs/>
          <w:color w:val="auto"/>
          <w:kern w:val="0"/>
          <w:sz w:val="32"/>
          <w:szCs w:val="32"/>
          <w:u w:val="none"/>
        </w:rPr>
        <w:t>万元。</w:t>
      </w:r>
      <w:r>
        <w:rPr>
          <w:rFonts w:hint="eastAsia" w:ascii="仿宋_GB2312" w:hAnsi="仿宋_GB2312" w:eastAsia="仿宋_GB2312" w:cs="仿宋_GB2312"/>
          <w:color w:val="auto"/>
          <w:kern w:val="0"/>
          <w:sz w:val="32"/>
          <w:szCs w:val="32"/>
          <w:u w:val="none"/>
        </w:rPr>
        <w:t>主要包括：基本工资</w:t>
      </w:r>
      <w:r>
        <w:rPr>
          <w:rFonts w:hint="eastAsia" w:ascii="Times New Roman" w:hAnsi="Times New Roman" w:eastAsia="仿宋_GB2312" w:cs="仿宋_GB2312"/>
          <w:color w:val="auto"/>
          <w:kern w:val="0"/>
          <w:sz w:val="32"/>
          <w:szCs w:val="32"/>
          <w:u w:val="none"/>
          <w:lang w:val="en-US" w:eastAsia="zh-CN" w:bidi="ar-SA"/>
        </w:rPr>
        <w:t>319.83</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、津贴补贴</w:t>
      </w:r>
      <w:r>
        <w:rPr>
          <w:rFonts w:hint="eastAsia" w:ascii="Times New Roman" w:hAnsi="Times New Roman" w:eastAsia="仿宋_GB2312" w:cs="仿宋_GB2312"/>
          <w:color w:val="auto"/>
          <w:kern w:val="0"/>
          <w:sz w:val="32"/>
          <w:szCs w:val="32"/>
          <w:u w:val="none"/>
          <w:lang w:val="en-US" w:eastAsia="zh-CN" w:bidi="ar-SA"/>
        </w:rPr>
        <w:t>549.26</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、奖金</w:t>
      </w:r>
      <w:r>
        <w:rPr>
          <w:rFonts w:hint="eastAsia" w:ascii="Times New Roman" w:hAnsi="Times New Roman" w:eastAsia="仿宋_GB2312" w:cs="仿宋_GB2312"/>
          <w:color w:val="auto"/>
          <w:kern w:val="0"/>
          <w:sz w:val="32"/>
          <w:szCs w:val="32"/>
          <w:u w:val="none"/>
          <w:lang w:val="en-US" w:eastAsia="zh-CN" w:bidi="ar-SA"/>
        </w:rPr>
        <w:t>69.56</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、机关事业单位基本养老保险缴费</w:t>
      </w:r>
      <w:r>
        <w:rPr>
          <w:rFonts w:hint="eastAsia" w:ascii="Times New Roman" w:hAnsi="Times New Roman" w:eastAsia="仿宋_GB2312" w:cs="仿宋_GB2312"/>
          <w:color w:val="auto"/>
          <w:kern w:val="0"/>
          <w:sz w:val="32"/>
          <w:szCs w:val="32"/>
          <w:u w:val="none"/>
          <w:lang w:val="en-US" w:eastAsia="zh-CN" w:bidi="ar-SA"/>
        </w:rPr>
        <w:t>99.07</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、职业年金缴费</w:t>
      </w:r>
      <w:r>
        <w:rPr>
          <w:rFonts w:hint="eastAsia" w:ascii="Times New Roman" w:hAnsi="Times New Roman" w:eastAsia="仿宋_GB2312" w:cs="仿宋_GB2312"/>
          <w:color w:val="auto"/>
          <w:kern w:val="0"/>
          <w:sz w:val="32"/>
          <w:szCs w:val="32"/>
          <w:u w:val="none"/>
          <w:lang w:val="en-US" w:eastAsia="zh-CN"/>
        </w:rPr>
        <w:t>4</w:t>
      </w:r>
      <w:r>
        <w:rPr>
          <w:rFonts w:hint="eastAsia" w:ascii="Times New Roman" w:hAnsi="Times New Roman" w:eastAsia="仿宋_GB2312" w:cs="仿宋_GB2312"/>
          <w:color w:val="auto"/>
          <w:kern w:val="0"/>
          <w:sz w:val="32"/>
          <w:szCs w:val="32"/>
          <w:u w:val="none"/>
          <w:lang w:val="en-US" w:eastAsia="zh-CN" w:bidi="ar-SA"/>
        </w:rPr>
        <w:t>9.53</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、职工基本医疗保险缴费</w:t>
      </w:r>
      <w:r>
        <w:rPr>
          <w:rFonts w:hint="eastAsia" w:ascii="Times New Roman" w:hAnsi="Times New Roman" w:eastAsia="仿宋_GB2312" w:cs="仿宋_GB2312"/>
          <w:color w:val="auto"/>
          <w:kern w:val="0"/>
          <w:sz w:val="32"/>
          <w:szCs w:val="32"/>
          <w:u w:val="none"/>
          <w:lang w:val="en-US" w:eastAsia="zh-CN" w:bidi="ar-SA"/>
        </w:rPr>
        <w:t>81.84</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、公务员医疗补助缴费</w:t>
      </w:r>
      <w:r>
        <w:rPr>
          <w:rFonts w:hint="eastAsia" w:ascii="Times New Roman" w:hAnsi="Times New Roman" w:eastAsia="仿宋_GB2312" w:cs="仿宋_GB2312"/>
          <w:color w:val="auto"/>
          <w:kern w:val="0"/>
          <w:sz w:val="32"/>
          <w:szCs w:val="32"/>
          <w:u w:val="none"/>
          <w:lang w:val="en-US" w:eastAsia="zh-CN" w:bidi="ar-SA"/>
        </w:rPr>
        <w:t>44.48</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w:t>
      </w:r>
      <w:r>
        <w:rPr>
          <w:rFonts w:hint="eastAsia" w:ascii="仿宋_GB2312" w:hAnsi="仿宋_GB2312" w:eastAsia="仿宋_GB2312" w:cs="仿宋_GB2312"/>
          <w:color w:val="auto"/>
          <w:kern w:val="0"/>
          <w:sz w:val="32"/>
          <w:szCs w:val="32"/>
          <w:u w:val="none"/>
          <w:lang w:val="en-US" w:eastAsia="zh-CN"/>
        </w:rPr>
        <w:t>其他社会保障缴费</w:t>
      </w:r>
      <w:r>
        <w:rPr>
          <w:rFonts w:hint="eastAsia" w:ascii="Times New Roman" w:hAnsi="Times New Roman" w:eastAsia="仿宋_GB2312" w:cs="仿宋_GB2312"/>
          <w:color w:val="auto"/>
          <w:kern w:val="0"/>
          <w:sz w:val="32"/>
          <w:szCs w:val="32"/>
          <w:u w:val="none"/>
          <w:lang w:val="en-US" w:eastAsia="zh-CN" w:bidi="ar-SA"/>
        </w:rPr>
        <w:t>2.01</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住房公积金</w:t>
      </w:r>
      <w:r>
        <w:rPr>
          <w:rFonts w:hint="eastAsia" w:ascii="Times New Roman" w:hAnsi="Times New Roman" w:eastAsia="仿宋_GB2312" w:cs="仿宋_GB2312"/>
          <w:color w:val="auto"/>
          <w:kern w:val="0"/>
          <w:sz w:val="32"/>
          <w:szCs w:val="32"/>
          <w:u w:val="none"/>
          <w:lang w:val="en-US" w:eastAsia="zh-CN" w:bidi="ar-SA"/>
        </w:rPr>
        <w:t>122.20</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、其他工资福利支出</w:t>
      </w:r>
      <w:r>
        <w:rPr>
          <w:rFonts w:hint="eastAsia" w:ascii="Times New Roman" w:hAnsi="Times New Roman" w:eastAsia="仿宋_GB2312" w:cs="仿宋_GB2312"/>
          <w:color w:val="auto"/>
          <w:kern w:val="0"/>
          <w:sz w:val="32"/>
          <w:szCs w:val="32"/>
          <w:u w:val="none"/>
          <w:lang w:val="en-US" w:eastAsia="zh-CN" w:bidi="ar-SA"/>
        </w:rPr>
        <w:t>50.84</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、退休费</w:t>
      </w:r>
      <w:r>
        <w:rPr>
          <w:rFonts w:hint="eastAsia" w:ascii="Times New Roman" w:hAnsi="Times New Roman" w:eastAsia="仿宋_GB2312" w:cs="仿宋_GB2312"/>
          <w:color w:val="auto"/>
          <w:kern w:val="0"/>
          <w:sz w:val="32"/>
          <w:szCs w:val="32"/>
          <w:u w:val="none"/>
          <w:lang w:val="en-US" w:eastAsia="zh-CN" w:bidi="ar-SA"/>
        </w:rPr>
        <w:t>41.29</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、抚恤金</w:t>
      </w:r>
      <w:r>
        <w:rPr>
          <w:rFonts w:hint="eastAsia" w:ascii="Times New Roman" w:hAnsi="Times New Roman" w:eastAsia="仿宋_GB2312" w:cs="仿宋_GB2312"/>
          <w:color w:val="auto"/>
          <w:kern w:val="0"/>
          <w:sz w:val="32"/>
          <w:szCs w:val="32"/>
          <w:u w:val="none"/>
          <w:lang w:val="en-US" w:eastAsia="zh-CN" w:bidi="ar-SA"/>
        </w:rPr>
        <w:t>86.70万</w:t>
      </w:r>
      <w:r>
        <w:rPr>
          <w:rFonts w:hint="eastAsia" w:ascii="仿宋_GB2312" w:hAnsi="仿宋_GB2312" w:eastAsia="仿宋_GB2312" w:cs="仿宋_GB2312"/>
          <w:color w:val="auto"/>
          <w:kern w:val="0"/>
          <w:sz w:val="32"/>
          <w:szCs w:val="32"/>
          <w:u w:val="none"/>
          <w:lang w:val="en-US" w:eastAsia="zh-CN"/>
        </w:rPr>
        <w:t>元</w:t>
      </w:r>
      <w:r>
        <w:rPr>
          <w:rFonts w:hint="eastAsia" w:ascii="仿宋_GB2312" w:hAnsi="仿宋_GB2312" w:eastAsia="仿宋_GB2312" w:cs="仿宋_GB2312"/>
          <w:color w:val="auto"/>
          <w:kern w:val="0"/>
          <w:sz w:val="32"/>
          <w:szCs w:val="32"/>
          <w:u w:val="none"/>
        </w:rPr>
        <w:t>。</w:t>
      </w:r>
    </w:p>
    <w:p w14:paraId="742D7075">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u w:val="none"/>
        </w:rPr>
        <w:t>（二）公用经费</w:t>
      </w:r>
      <w:r>
        <w:rPr>
          <w:rFonts w:hint="eastAsia" w:ascii="Times New Roman" w:hAnsi="Times New Roman" w:eastAsia="仿宋_GB2312" w:cs="仿宋_GB2312"/>
          <w:b/>
          <w:bCs/>
          <w:color w:val="auto"/>
          <w:kern w:val="0"/>
          <w:sz w:val="32"/>
          <w:szCs w:val="32"/>
          <w:u w:val="none"/>
          <w:lang w:val="en-US" w:eastAsia="zh-CN" w:bidi="ar-SA"/>
        </w:rPr>
        <w:t>237</w:t>
      </w:r>
      <w:r>
        <w:rPr>
          <w:rFonts w:hint="eastAsia" w:ascii="Times New Roman" w:hAnsi="Times New Roman" w:eastAsia="仿宋_GB2312" w:cs="仿宋_GB2312"/>
          <w:b/>
          <w:bCs/>
          <w:color w:val="auto"/>
          <w:kern w:val="0"/>
          <w:sz w:val="32"/>
          <w:szCs w:val="32"/>
          <w:u w:val="none"/>
          <w:lang w:val="en-US" w:eastAsia="en-US" w:bidi="ar-SA"/>
        </w:rPr>
        <w:t>.</w:t>
      </w:r>
      <w:r>
        <w:rPr>
          <w:rFonts w:hint="eastAsia" w:ascii="Times New Roman" w:hAnsi="Times New Roman" w:eastAsia="仿宋_GB2312" w:cs="仿宋_GB2312"/>
          <w:b/>
          <w:bCs/>
          <w:color w:val="auto"/>
          <w:kern w:val="0"/>
          <w:sz w:val="32"/>
          <w:szCs w:val="32"/>
          <w:u w:val="none"/>
          <w:lang w:val="en-US" w:eastAsia="zh-CN" w:bidi="ar-SA"/>
        </w:rPr>
        <w:t>43</w:t>
      </w:r>
      <w:r>
        <w:rPr>
          <w:rFonts w:hint="eastAsia" w:ascii="仿宋_GB2312" w:hAnsi="仿宋_GB2312" w:eastAsia="仿宋_GB2312" w:cs="仿宋_GB2312"/>
          <w:b/>
          <w:bCs/>
          <w:color w:val="auto"/>
          <w:kern w:val="0"/>
          <w:sz w:val="32"/>
          <w:szCs w:val="32"/>
          <w:u w:val="none"/>
        </w:rPr>
        <w:t>万元。</w:t>
      </w:r>
      <w:r>
        <w:rPr>
          <w:rFonts w:hint="eastAsia" w:ascii="仿宋_GB2312" w:hAnsi="仿宋_GB2312" w:eastAsia="仿宋_GB2312" w:cs="仿宋_GB2312"/>
          <w:color w:val="auto"/>
          <w:kern w:val="0"/>
          <w:sz w:val="32"/>
          <w:szCs w:val="32"/>
          <w:u w:val="none"/>
        </w:rPr>
        <w:t>主要包括：办公费</w:t>
      </w:r>
      <w:r>
        <w:rPr>
          <w:rFonts w:hint="eastAsia" w:ascii="Times New Roman" w:hAnsi="Times New Roman" w:eastAsia="仿宋_GB2312" w:cs="仿宋_GB2312"/>
          <w:color w:val="auto"/>
          <w:kern w:val="0"/>
          <w:sz w:val="32"/>
          <w:szCs w:val="32"/>
          <w:u w:val="none"/>
          <w:lang w:val="en-US" w:eastAsia="zh-CN" w:bidi="ar-SA"/>
        </w:rPr>
        <w:t>9.00</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、印刷费</w:t>
      </w:r>
      <w:r>
        <w:rPr>
          <w:rFonts w:hint="eastAsia" w:ascii="Times New Roman" w:hAnsi="Times New Roman" w:eastAsia="仿宋_GB2312" w:cs="仿宋_GB2312"/>
          <w:color w:val="auto"/>
          <w:kern w:val="0"/>
          <w:sz w:val="32"/>
          <w:szCs w:val="32"/>
          <w:u w:val="none"/>
          <w:lang w:val="en-US" w:eastAsia="zh-CN" w:bidi="ar-SA"/>
        </w:rPr>
        <w:t>8.00</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、手续费</w:t>
      </w:r>
      <w:r>
        <w:rPr>
          <w:rFonts w:hint="eastAsia" w:ascii="Times New Roman" w:hAnsi="Times New Roman" w:eastAsia="仿宋_GB2312" w:cs="仿宋_GB2312"/>
          <w:color w:val="auto"/>
          <w:kern w:val="0"/>
          <w:sz w:val="32"/>
          <w:szCs w:val="32"/>
          <w:u w:val="none"/>
          <w:lang w:val="en-US" w:eastAsia="zh-CN" w:bidi="ar-SA"/>
        </w:rPr>
        <w:t>0.22</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、水费</w:t>
      </w:r>
      <w:r>
        <w:rPr>
          <w:rFonts w:hint="eastAsia" w:ascii="Times New Roman" w:hAnsi="Times New Roman" w:eastAsia="仿宋_GB2312" w:cs="仿宋_GB2312"/>
          <w:color w:val="auto"/>
          <w:kern w:val="0"/>
          <w:sz w:val="32"/>
          <w:szCs w:val="32"/>
          <w:u w:val="none"/>
          <w:lang w:val="en-US" w:eastAsia="zh-CN" w:bidi="ar-SA"/>
        </w:rPr>
        <w:t>0.88</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、电费</w:t>
      </w:r>
      <w:r>
        <w:rPr>
          <w:rFonts w:hint="eastAsia" w:ascii="Times New Roman" w:hAnsi="Times New Roman" w:eastAsia="仿宋_GB2312" w:cs="仿宋_GB2312"/>
          <w:color w:val="auto"/>
          <w:kern w:val="0"/>
          <w:sz w:val="32"/>
          <w:szCs w:val="32"/>
          <w:u w:val="none"/>
          <w:lang w:val="en-US" w:eastAsia="zh-CN" w:bidi="ar-SA"/>
        </w:rPr>
        <w:t>5.39</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、邮电费</w:t>
      </w:r>
      <w:r>
        <w:rPr>
          <w:rFonts w:hint="eastAsia" w:ascii="Times New Roman" w:hAnsi="Times New Roman" w:eastAsia="仿宋_GB2312" w:cs="仿宋_GB2312"/>
          <w:color w:val="auto"/>
          <w:kern w:val="0"/>
          <w:sz w:val="32"/>
          <w:szCs w:val="32"/>
          <w:u w:val="none"/>
          <w:lang w:val="en-US" w:eastAsia="zh-CN" w:bidi="ar-SA"/>
        </w:rPr>
        <w:t>0.20</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、取暖费</w:t>
      </w:r>
      <w:r>
        <w:rPr>
          <w:rFonts w:hint="eastAsia" w:ascii="Times New Roman" w:hAnsi="Times New Roman" w:eastAsia="仿宋_GB2312" w:cs="仿宋_GB2312"/>
          <w:color w:val="auto"/>
          <w:kern w:val="0"/>
          <w:sz w:val="32"/>
          <w:szCs w:val="32"/>
          <w:u w:val="none"/>
          <w:lang w:val="en-US" w:eastAsia="zh-CN" w:bidi="ar-SA"/>
        </w:rPr>
        <w:t>35.94</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rPr>
        <w:t>差旅费</w:t>
      </w:r>
      <w:r>
        <w:rPr>
          <w:rFonts w:hint="eastAsia" w:ascii="Times New Roman" w:hAnsi="Times New Roman" w:eastAsia="仿宋_GB2312" w:cs="仿宋_GB2312"/>
          <w:color w:val="auto"/>
          <w:kern w:val="0"/>
          <w:sz w:val="32"/>
          <w:szCs w:val="32"/>
          <w:u w:val="none"/>
          <w:lang w:val="en-US" w:eastAsia="zh-CN" w:bidi="ar-SA"/>
        </w:rPr>
        <w:t>19.52</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、维修（护）费</w:t>
      </w:r>
      <w:r>
        <w:rPr>
          <w:rFonts w:hint="eastAsia" w:ascii="Times New Roman" w:hAnsi="Times New Roman" w:eastAsia="仿宋_GB2312" w:cs="仿宋_GB2312"/>
          <w:color w:val="auto"/>
          <w:kern w:val="0"/>
          <w:sz w:val="32"/>
          <w:szCs w:val="32"/>
          <w:u w:val="none"/>
          <w:lang w:val="en-US" w:eastAsia="zh-CN" w:bidi="ar-SA"/>
        </w:rPr>
        <w:t>1.05</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、租赁费</w:t>
      </w:r>
      <w:r>
        <w:rPr>
          <w:rFonts w:hint="eastAsia" w:ascii="Times New Roman" w:hAnsi="Times New Roman" w:eastAsia="仿宋_GB2312" w:cs="仿宋_GB2312"/>
          <w:color w:val="auto"/>
          <w:kern w:val="0"/>
          <w:sz w:val="32"/>
          <w:szCs w:val="32"/>
          <w:u w:val="none"/>
          <w:lang w:val="en-US" w:eastAsia="zh-CN" w:bidi="ar-SA"/>
        </w:rPr>
        <w:t>2.89</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、培训费</w:t>
      </w:r>
      <w:r>
        <w:rPr>
          <w:rFonts w:hint="eastAsia" w:ascii="Times New Roman" w:hAnsi="Times New Roman" w:eastAsia="仿宋_GB2312" w:cs="仿宋_GB2312"/>
          <w:color w:val="auto"/>
          <w:kern w:val="0"/>
          <w:sz w:val="32"/>
          <w:szCs w:val="32"/>
          <w:u w:val="none"/>
          <w:lang w:val="en-US" w:eastAsia="zh-CN" w:bidi="ar-SA"/>
        </w:rPr>
        <w:t>14.00</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、专用材料费</w:t>
      </w:r>
      <w:r>
        <w:rPr>
          <w:rFonts w:hint="eastAsia" w:ascii="Times New Roman" w:hAnsi="Times New Roman" w:eastAsia="仿宋_GB2312" w:cs="仿宋_GB2312"/>
          <w:color w:val="auto"/>
          <w:kern w:val="0"/>
          <w:sz w:val="32"/>
          <w:szCs w:val="32"/>
          <w:u w:val="none"/>
          <w:lang w:val="en-US" w:eastAsia="zh-CN" w:bidi="ar-SA"/>
        </w:rPr>
        <w:t>30.00</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、劳务费</w:t>
      </w:r>
      <w:r>
        <w:rPr>
          <w:rFonts w:hint="eastAsia" w:ascii="Times New Roman" w:hAnsi="Times New Roman" w:eastAsia="仿宋_GB2312" w:cs="仿宋_GB2312"/>
          <w:color w:val="auto"/>
          <w:kern w:val="0"/>
          <w:sz w:val="32"/>
          <w:szCs w:val="32"/>
          <w:u w:val="none"/>
          <w:lang w:val="en-US" w:eastAsia="zh-CN" w:bidi="ar-SA"/>
        </w:rPr>
        <w:t>6.37</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、工会经费</w:t>
      </w:r>
      <w:r>
        <w:rPr>
          <w:rFonts w:hint="eastAsia" w:ascii="Times New Roman" w:hAnsi="Times New Roman" w:eastAsia="仿宋_GB2312" w:cs="仿宋_GB2312"/>
          <w:color w:val="auto"/>
          <w:kern w:val="0"/>
          <w:sz w:val="32"/>
          <w:szCs w:val="32"/>
          <w:u w:val="none"/>
          <w:lang w:val="en-US" w:eastAsia="zh-CN" w:bidi="ar-SA"/>
        </w:rPr>
        <w:t>18.51</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、福利费</w:t>
      </w:r>
      <w:r>
        <w:rPr>
          <w:rFonts w:hint="eastAsia" w:ascii="Times New Roman" w:hAnsi="Times New Roman" w:eastAsia="仿宋_GB2312" w:cs="仿宋_GB2312"/>
          <w:color w:val="auto"/>
          <w:kern w:val="0"/>
          <w:sz w:val="32"/>
          <w:szCs w:val="32"/>
          <w:u w:val="none"/>
          <w:lang w:val="en-US" w:eastAsia="zh-CN" w:bidi="ar-SA"/>
        </w:rPr>
        <w:t>22.95</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、其他交通费用</w:t>
      </w:r>
      <w:r>
        <w:rPr>
          <w:rFonts w:hint="eastAsia" w:ascii="Times New Roman" w:hAnsi="Times New Roman" w:eastAsia="仿宋_GB2312" w:cs="仿宋_GB2312"/>
          <w:color w:val="auto"/>
          <w:kern w:val="0"/>
          <w:sz w:val="32"/>
          <w:szCs w:val="32"/>
          <w:u w:val="none"/>
          <w:lang w:val="en-US" w:eastAsia="zh-CN" w:bidi="ar-SA"/>
        </w:rPr>
        <w:t>47.51</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、其他商品和服务支出</w:t>
      </w:r>
      <w:r>
        <w:rPr>
          <w:rFonts w:hint="eastAsia" w:ascii="Times New Roman" w:hAnsi="Times New Roman" w:eastAsia="仿宋_GB2312" w:cs="仿宋_GB2312"/>
          <w:color w:val="auto"/>
          <w:kern w:val="0"/>
          <w:sz w:val="32"/>
          <w:szCs w:val="32"/>
          <w:u w:val="none"/>
          <w:lang w:val="en-US" w:eastAsia="zh-CN" w:bidi="ar-SA"/>
        </w:rPr>
        <w:t>15.00</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w:t>
      </w:r>
    </w:p>
    <w:p w14:paraId="29FCA60A">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Times New Roman" w:hAnsi="Times New Roman" w:eastAsia="Times New Roman" w:cs="Times New Roman"/>
          <w:b w:val="0"/>
          <w:bCs w:val="0"/>
          <w:color w:val="auto"/>
          <w:kern w:val="0"/>
          <w:sz w:val="32"/>
          <w:szCs w:val="32"/>
        </w:rPr>
      </w:pPr>
      <w:r>
        <w:rPr>
          <w:rFonts w:ascii="黑体" w:hAnsi="黑体" w:eastAsia="黑体" w:cs="黑体"/>
          <w:b w:val="0"/>
          <w:bCs w:val="0"/>
          <w:color w:val="auto"/>
          <w:kern w:val="0"/>
          <w:sz w:val="32"/>
          <w:szCs w:val="32"/>
        </w:rPr>
        <w:t>七、一般公共预算财政拨款项目支出决算情况说明</w:t>
      </w:r>
    </w:p>
    <w:p w14:paraId="4FA7201C">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eastAsia="zh-CN"/>
        </w:rPr>
        <w:t>2025</w:t>
      </w:r>
      <w:r>
        <w:rPr>
          <w:rFonts w:hint="eastAsia" w:ascii="仿宋_GB2312" w:hAnsi="仿宋_GB2312" w:eastAsia="仿宋_GB2312" w:cs="仿宋_GB2312"/>
          <w:color w:val="auto"/>
          <w:kern w:val="0"/>
          <w:sz w:val="32"/>
          <w:szCs w:val="32"/>
          <w:u w:val="none"/>
        </w:rPr>
        <w:t>年度一般公共预算财政拨款项目支出决算</w:t>
      </w:r>
      <w:r>
        <w:rPr>
          <w:rFonts w:hint="eastAsia" w:ascii="Times New Roman" w:hAnsi="Times New Roman" w:eastAsia="仿宋_GB2312" w:cs="仿宋_GB2312"/>
          <w:color w:val="auto"/>
          <w:kern w:val="0"/>
          <w:sz w:val="32"/>
          <w:szCs w:val="32"/>
          <w:u w:val="none"/>
          <w:lang w:eastAsia="zh-CN"/>
        </w:rPr>
        <w:t>70</w:t>
      </w:r>
      <w:r>
        <w:rPr>
          <w:rFonts w:hint="eastAsia" w:ascii="Times New Roman" w:hAnsi="Times New Roman" w:eastAsia="仿宋_GB2312" w:cs="仿宋_GB2312"/>
          <w:color w:val="auto"/>
          <w:kern w:val="0"/>
          <w:sz w:val="32"/>
          <w:szCs w:val="32"/>
          <w:u w:val="none"/>
          <w:lang w:eastAsia="en-US"/>
        </w:rPr>
        <w:t>.</w:t>
      </w:r>
      <w:r>
        <w:rPr>
          <w:rFonts w:hint="eastAsia" w:ascii="Times New Roman" w:hAnsi="Times New Roman" w:eastAsia="仿宋_GB2312" w:cs="仿宋_GB2312"/>
          <w:color w:val="auto"/>
          <w:kern w:val="0"/>
          <w:sz w:val="32"/>
          <w:szCs w:val="32"/>
          <w:u w:val="none"/>
          <w:lang w:eastAsia="zh-CN"/>
        </w:rPr>
        <w:t>00</w:t>
      </w:r>
      <w:r>
        <w:rPr>
          <w:rFonts w:hint="eastAsia" w:ascii="仿宋_GB2312" w:hAnsi="仿宋_GB2312" w:eastAsia="仿宋_GB2312" w:cs="仿宋_GB2312"/>
          <w:color w:val="auto"/>
          <w:kern w:val="0"/>
          <w:sz w:val="32"/>
          <w:szCs w:val="32"/>
          <w:u w:val="none"/>
        </w:rPr>
        <w:t>万元，其中：</w:t>
      </w:r>
    </w:p>
    <w:p w14:paraId="7FD17D47">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default"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eastAsia="zh-CN"/>
        </w:rPr>
        <w:t>（</w:t>
      </w:r>
      <w:r>
        <w:rPr>
          <w:rFonts w:hint="eastAsia" w:ascii="仿宋_GB2312" w:hAnsi="仿宋_GB2312" w:eastAsia="仿宋_GB2312" w:cs="仿宋_GB2312"/>
          <w:b/>
          <w:bCs/>
          <w:color w:val="auto"/>
          <w:kern w:val="0"/>
          <w:sz w:val="32"/>
          <w:szCs w:val="32"/>
          <w:lang w:val="en-US" w:eastAsia="zh-CN"/>
        </w:rPr>
        <w:t>一</w:t>
      </w:r>
      <w:r>
        <w:rPr>
          <w:rFonts w:hint="eastAsia" w:ascii="仿宋_GB2312" w:hAnsi="仿宋_GB2312" w:eastAsia="仿宋_GB2312" w:cs="仿宋_GB2312"/>
          <w:b/>
          <w:bCs/>
          <w:color w:val="auto"/>
          <w:kern w:val="0"/>
          <w:sz w:val="32"/>
          <w:szCs w:val="32"/>
          <w:lang w:eastAsia="zh-CN"/>
        </w:rPr>
        <w:t>）</w:t>
      </w:r>
      <w:r>
        <w:rPr>
          <w:rFonts w:hint="eastAsia" w:ascii="仿宋_GB2312" w:hAnsi="仿宋_GB2312" w:eastAsia="仿宋_GB2312" w:cs="仿宋_GB2312"/>
          <w:b/>
          <w:bCs/>
          <w:color w:val="auto"/>
          <w:kern w:val="0"/>
          <w:sz w:val="32"/>
          <w:szCs w:val="32"/>
          <w:lang w:val="en-US" w:eastAsia="zh-CN"/>
        </w:rPr>
        <w:t>工资福利支出</w:t>
      </w:r>
      <w:r>
        <w:rPr>
          <w:rFonts w:hint="eastAsia" w:ascii="Times New Roman" w:hAnsi="Times New Roman" w:eastAsia="仿宋_GB2312" w:cs="仿宋_GB2312"/>
          <w:b/>
          <w:bCs/>
          <w:color w:val="auto"/>
          <w:kern w:val="0"/>
          <w:sz w:val="32"/>
          <w:szCs w:val="32"/>
          <w:u w:val="none"/>
          <w:lang w:val="en-US" w:eastAsia="zh-CN"/>
        </w:rPr>
        <w:t>0.00</w:t>
      </w:r>
      <w:r>
        <w:rPr>
          <w:rFonts w:hint="eastAsia" w:ascii="仿宋_GB2312" w:hAnsi="仿宋_GB2312" w:eastAsia="仿宋_GB2312" w:cs="仿宋_GB2312"/>
          <w:b/>
          <w:bCs/>
          <w:color w:val="auto"/>
          <w:kern w:val="0"/>
          <w:sz w:val="32"/>
          <w:szCs w:val="32"/>
          <w:lang w:val="en-US" w:eastAsia="zh-CN"/>
        </w:rPr>
        <w:t>万元。</w:t>
      </w:r>
    </w:p>
    <w:p w14:paraId="6DCA9C2C">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w:t>
      </w:r>
      <w:r>
        <w:rPr>
          <w:rFonts w:hint="eastAsia" w:ascii="仿宋_GB2312" w:hAnsi="仿宋_GB2312" w:eastAsia="仿宋_GB2312" w:cs="仿宋_GB2312"/>
          <w:b/>
          <w:bCs/>
          <w:color w:val="auto"/>
          <w:kern w:val="0"/>
          <w:sz w:val="32"/>
          <w:szCs w:val="32"/>
          <w:lang w:val="en-US" w:eastAsia="zh-CN"/>
        </w:rPr>
        <w:t>二</w:t>
      </w:r>
      <w:r>
        <w:rPr>
          <w:rFonts w:hint="eastAsia" w:ascii="仿宋_GB2312" w:hAnsi="仿宋_GB2312" w:eastAsia="仿宋_GB2312" w:cs="仿宋_GB2312"/>
          <w:b/>
          <w:bCs/>
          <w:color w:val="auto"/>
          <w:kern w:val="0"/>
          <w:sz w:val="32"/>
          <w:szCs w:val="32"/>
        </w:rPr>
        <w:t>）商</w:t>
      </w:r>
      <w:r>
        <w:rPr>
          <w:rFonts w:hint="eastAsia" w:ascii="仿宋_GB2312" w:hAnsi="仿宋_GB2312" w:eastAsia="仿宋_GB2312" w:cs="仿宋_GB2312"/>
          <w:b/>
          <w:bCs/>
          <w:color w:val="auto"/>
          <w:kern w:val="0"/>
          <w:sz w:val="32"/>
          <w:szCs w:val="32"/>
          <w:u w:val="none"/>
        </w:rPr>
        <w:t>品和服务支</w:t>
      </w:r>
      <w:r>
        <w:rPr>
          <w:rFonts w:hint="eastAsia" w:ascii="仿宋_GB2312" w:hAnsi="仿宋_GB2312" w:eastAsia="仿宋_GB2312" w:cs="仿宋_GB2312"/>
          <w:b/>
          <w:bCs/>
          <w:color w:val="auto"/>
          <w:kern w:val="0"/>
          <w:sz w:val="32"/>
          <w:szCs w:val="32"/>
          <w:u w:val="none"/>
          <w:lang w:val="en-US" w:eastAsia="zh-CN"/>
        </w:rPr>
        <w:t>出</w:t>
      </w:r>
      <w:r>
        <w:rPr>
          <w:rFonts w:hint="eastAsia" w:ascii="Times New Roman" w:hAnsi="Times New Roman" w:eastAsia="仿宋_GB2312" w:cs="仿宋_GB2312"/>
          <w:b/>
          <w:bCs/>
          <w:color w:val="auto"/>
          <w:kern w:val="0"/>
          <w:sz w:val="32"/>
          <w:szCs w:val="32"/>
          <w:u w:val="none"/>
          <w:lang w:eastAsia="zh-CN"/>
        </w:rPr>
        <w:t>32</w:t>
      </w:r>
      <w:r>
        <w:rPr>
          <w:rFonts w:hint="eastAsia" w:ascii="Times New Roman" w:hAnsi="Times New Roman" w:eastAsia="仿宋_GB2312" w:cs="仿宋_GB2312"/>
          <w:b/>
          <w:bCs/>
          <w:color w:val="auto"/>
          <w:kern w:val="0"/>
          <w:sz w:val="32"/>
          <w:szCs w:val="32"/>
          <w:u w:val="none"/>
          <w:lang w:eastAsia="en-US"/>
        </w:rPr>
        <w:t>.</w:t>
      </w:r>
      <w:r>
        <w:rPr>
          <w:rFonts w:hint="eastAsia" w:ascii="Times New Roman" w:hAnsi="Times New Roman" w:eastAsia="仿宋_GB2312" w:cs="仿宋_GB2312"/>
          <w:b/>
          <w:bCs/>
          <w:color w:val="auto"/>
          <w:kern w:val="0"/>
          <w:sz w:val="32"/>
          <w:szCs w:val="32"/>
          <w:u w:val="none"/>
          <w:lang w:eastAsia="zh-CN"/>
        </w:rPr>
        <w:t>80</w:t>
      </w:r>
      <w:r>
        <w:rPr>
          <w:rFonts w:hint="eastAsia" w:ascii="仿宋_GB2312" w:hAnsi="仿宋_GB2312" w:eastAsia="仿宋_GB2312" w:cs="仿宋_GB2312"/>
          <w:b/>
          <w:bCs/>
          <w:color w:val="auto"/>
          <w:kern w:val="0"/>
          <w:sz w:val="32"/>
          <w:szCs w:val="32"/>
          <w:u w:val="none"/>
        </w:rPr>
        <w:t>万</w:t>
      </w:r>
      <w:r>
        <w:rPr>
          <w:rFonts w:hint="eastAsia" w:ascii="仿宋_GB2312" w:hAnsi="仿宋_GB2312" w:eastAsia="仿宋_GB2312" w:cs="仿宋_GB2312"/>
          <w:b/>
          <w:bCs/>
          <w:color w:val="auto"/>
          <w:kern w:val="0"/>
          <w:sz w:val="32"/>
          <w:szCs w:val="32"/>
        </w:rPr>
        <w:t>元。</w:t>
      </w:r>
      <w:r>
        <w:rPr>
          <w:rFonts w:hint="eastAsia" w:ascii="仿宋_GB2312" w:hAnsi="仿宋_GB2312" w:eastAsia="仿宋_GB2312" w:cs="仿宋_GB2312"/>
          <w:color w:val="auto"/>
          <w:kern w:val="0"/>
          <w:sz w:val="32"/>
          <w:szCs w:val="32"/>
        </w:rPr>
        <w:t>主要包括</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差旅费</w:t>
      </w:r>
      <w:r>
        <w:rPr>
          <w:rFonts w:hint="eastAsia" w:ascii="Times New Roman" w:hAnsi="Times New Roman"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lang w:val="en-US" w:eastAsia="zh-CN"/>
        </w:rPr>
        <w:t>.</w:t>
      </w:r>
      <w:r>
        <w:rPr>
          <w:rFonts w:hint="eastAsia" w:ascii="Times New Roman" w:hAnsi="Times New Roman" w:eastAsia="仿宋_GB2312" w:cs="仿宋_GB2312"/>
          <w:color w:val="auto"/>
          <w:kern w:val="0"/>
          <w:sz w:val="32"/>
          <w:szCs w:val="32"/>
          <w:lang w:val="en-US" w:eastAsia="zh-CN"/>
        </w:rPr>
        <w:t>80</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、维修（护）费</w:t>
      </w:r>
      <w:r>
        <w:rPr>
          <w:rFonts w:hint="eastAsia" w:ascii="Times New Roman" w:hAnsi="Times New Roman" w:eastAsia="仿宋_GB2312" w:cs="仿宋_GB2312"/>
          <w:color w:val="auto"/>
          <w:kern w:val="0"/>
          <w:sz w:val="32"/>
          <w:szCs w:val="32"/>
          <w:lang w:val="en-US" w:eastAsia="zh-CN"/>
        </w:rPr>
        <w:t>15.00</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、租赁费</w:t>
      </w:r>
      <w:r>
        <w:rPr>
          <w:rFonts w:hint="eastAsia" w:ascii="Times New Roman" w:hAnsi="Times New Roman" w:eastAsia="仿宋_GB2312" w:cs="仿宋_GB2312"/>
          <w:color w:val="auto"/>
          <w:kern w:val="0"/>
          <w:sz w:val="32"/>
          <w:szCs w:val="32"/>
          <w:lang w:val="en-US" w:eastAsia="zh-CN"/>
        </w:rPr>
        <w:t>9.00</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专用材料费</w:t>
      </w:r>
      <w:r>
        <w:rPr>
          <w:rFonts w:hint="eastAsia" w:ascii="Times New Roman" w:hAnsi="Times New Roman"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、劳务费</w:t>
      </w:r>
      <w:r>
        <w:rPr>
          <w:rFonts w:hint="eastAsia" w:ascii="Times New Roman" w:hAnsi="Times New Roman" w:eastAsia="仿宋_GB2312" w:cs="仿宋_GB2312"/>
          <w:color w:val="auto"/>
          <w:kern w:val="0"/>
          <w:sz w:val="32"/>
          <w:szCs w:val="32"/>
          <w:lang w:val="en-US" w:eastAsia="zh-CN"/>
        </w:rPr>
        <w:t>5.00</w:t>
      </w:r>
      <w:r>
        <w:rPr>
          <w:rFonts w:hint="eastAsia" w:ascii="仿宋_GB2312" w:hAnsi="仿宋_GB2312" w:eastAsia="仿宋_GB2312" w:cs="仿宋_GB2312"/>
          <w:color w:val="auto"/>
          <w:kern w:val="0"/>
          <w:sz w:val="32"/>
          <w:szCs w:val="32"/>
          <w:lang w:val="en-US" w:eastAsia="zh-CN"/>
        </w:rPr>
        <w:t>万元</w:t>
      </w:r>
      <w:r>
        <w:rPr>
          <w:rFonts w:hint="eastAsia" w:ascii="仿宋_GB2312" w:hAnsi="仿宋_GB2312" w:eastAsia="仿宋_GB2312" w:cs="仿宋_GB2312"/>
          <w:color w:val="auto"/>
          <w:kern w:val="0"/>
          <w:sz w:val="32"/>
          <w:szCs w:val="32"/>
        </w:rPr>
        <w:t>。</w:t>
      </w:r>
    </w:p>
    <w:p w14:paraId="291D775A">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b/>
          <w:bCs/>
          <w:color w:val="auto"/>
          <w:kern w:val="0"/>
          <w:sz w:val="32"/>
          <w:szCs w:val="32"/>
          <w:u w:val="none"/>
        </w:rPr>
        <w:t>（</w:t>
      </w:r>
      <w:r>
        <w:rPr>
          <w:rFonts w:hint="eastAsia" w:ascii="仿宋_GB2312" w:hAnsi="仿宋_GB2312" w:eastAsia="仿宋_GB2312" w:cs="仿宋_GB2312"/>
          <w:b/>
          <w:bCs/>
          <w:color w:val="auto"/>
          <w:kern w:val="0"/>
          <w:sz w:val="32"/>
          <w:szCs w:val="32"/>
          <w:u w:val="none"/>
          <w:lang w:val="en-US" w:eastAsia="zh-CN"/>
        </w:rPr>
        <w:t>三</w:t>
      </w:r>
      <w:r>
        <w:rPr>
          <w:rFonts w:hint="eastAsia" w:ascii="仿宋_GB2312" w:hAnsi="仿宋_GB2312" w:eastAsia="仿宋_GB2312" w:cs="仿宋_GB2312"/>
          <w:b/>
          <w:bCs/>
          <w:color w:val="auto"/>
          <w:kern w:val="0"/>
          <w:sz w:val="32"/>
          <w:szCs w:val="32"/>
          <w:u w:val="none"/>
        </w:rPr>
        <w:t>）资本性支出</w:t>
      </w:r>
      <w:r>
        <w:rPr>
          <w:rFonts w:hint="eastAsia" w:ascii="Times New Roman" w:hAnsi="Times New Roman" w:eastAsia="仿宋_GB2312" w:cs="仿宋_GB2312"/>
          <w:b/>
          <w:bCs/>
          <w:color w:val="auto"/>
          <w:kern w:val="0"/>
          <w:sz w:val="32"/>
          <w:szCs w:val="32"/>
          <w:u w:val="none"/>
          <w:lang w:eastAsia="zh-CN"/>
        </w:rPr>
        <w:t>37</w:t>
      </w:r>
      <w:r>
        <w:rPr>
          <w:rFonts w:hint="eastAsia" w:ascii="仿宋_GB2312" w:hAnsi="仿宋_GB2312" w:eastAsia="仿宋_GB2312" w:cs="仿宋_GB2312"/>
          <w:b/>
          <w:bCs/>
          <w:color w:val="auto"/>
          <w:kern w:val="0"/>
          <w:sz w:val="32"/>
          <w:szCs w:val="32"/>
          <w:u w:val="none"/>
          <w:lang w:eastAsia="en-US"/>
        </w:rPr>
        <w:t>.</w:t>
      </w:r>
      <w:r>
        <w:rPr>
          <w:rFonts w:hint="eastAsia" w:ascii="Times New Roman" w:hAnsi="Times New Roman" w:eastAsia="仿宋_GB2312" w:cs="仿宋_GB2312"/>
          <w:b/>
          <w:bCs/>
          <w:color w:val="auto"/>
          <w:kern w:val="0"/>
          <w:sz w:val="32"/>
          <w:szCs w:val="32"/>
          <w:u w:val="none"/>
          <w:lang w:eastAsia="zh-CN"/>
        </w:rPr>
        <w:t>20</w:t>
      </w:r>
      <w:r>
        <w:rPr>
          <w:rFonts w:hint="eastAsia" w:ascii="仿宋_GB2312" w:hAnsi="仿宋_GB2312" w:eastAsia="仿宋_GB2312" w:cs="仿宋_GB2312"/>
          <w:b/>
          <w:bCs/>
          <w:color w:val="auto"/>
          <w:kern w:val="0"/>
          <w:sz w:val="32"/>
          <w:szCs w:val="32"/>
          <w:u w:val="none"/>
        </w:rPr>
        <w:t>万元。</w:t>
      </w:r>
      <w:r>
        <w:rPr>
          <w:rFonts w:hint="eastAsia" w:ascii="仿宋_GB2312" w:hAnsi="仿宋_GB2312" w:eastAsia="仿宋_GB2312" w:cs="仿宋_GB2312"/>
          <w:color w:val="auto"/>
          <w:kern w:val="0"/>
          <w:sz w:val="32"/>
          <w:szCs w:val="32"/>
          <w:u w:val="none"/>
        </w:rPr>
        <w:t>主要包括：专用设备购置</w:t>
      </w:r>
      <w:r>
        <w:rPr>
          <w:rFonts w:hint="eastAsia" w:ascii="Times New Roman" w:hAnsi="Times New Roman" w:eastAsia="仿宋_GB2312" w:cs="仿宋_GB2312"/>
          <w:color w:val="auto"/>
          <w:kern w:val="0"/>
          <w:sz w:val="32"/>
          <w:szCs w:val="32"/>
          <w:u w:val="none"/>
          <w:lang w:val="en-US" w:eastAsia="zh-CN"/>
        </w:rPr>
        <w:t>10</w:t>
      </w:r>
      <w:r>
        <w:rPr>
          <w:rFonts w:hint="eastAsia" w:ascii="仿宋_GB2312" w:hAnsi="仿宋_GB2312" w:eastAsia="仿宋_GB2312" w:cs="仿宋_GB2312"/>
          <w:color w:val="auto"/>
          <w:kern w:val="0"/>
          <w:sz w:val="32"/>
          <w:szCs w:val="32"/>
          <w:u w:val="none"/>
          <w:lang w:val="en-US" w:eastAsia="zh-CN"/>
        </w:rPr>
        <w:t>.</w:t>
      </w:r>
      <w:r>
        <w:rPr>
          <w:rFonts w:hint="eastAsia" w:ascii="Times New Roman" w:hAnsi="Times New Roman" w:eastAsia="仿宋_GB2312" w:cs="仿宋_GB2312"/>
          <w:color w:val="auto"/>
          <w:kern w:val="0"/>
          <w:sz w:val="32"/>
          <w:szCs w:val="32"/>
          <w:u w:val="none"/>
          <w:lang w:val="en-US" w:eastAsia="zh-CN"/>
        </w:rPr>
        <w:t>10</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、其他交通工具购置</w:t>
      </w:r>
      <w:r>
        <w:rPr>
          <w:rFonts w:hint="eastAsia" w:ascii="Times New Roman" w:hAnsi="Times New Roman" w:eastAsia="仿宋_GB2312" w:cs="仿宋_GB2312"/>
          <w:color w:val="auto"/>
          <w:kern w:val="0"/>
          <w:sz w:val="32"/>
          <w:szCs w:val="32"/>
          <w:u w:val="none"/>
          <w:lang w:val="en-US" w:eastAsia="zh-CN"/>
        </w:rPr>
        <w:t>27.10</w:t>
      </w:r>
      <w:r>
        <w:rPr>
          <w:rFonts w:hint="eastAsia" w:ascii="仿宋_GB2312" w:hAnsi="仿宋_GB2312" w:eastAsia="仿宋_GB2312" w:cs="仿宋_GB2312"/>
          <w:color w:val="auto"/>
          <w:kern w:val="0"/>
          <w:sz w:val="32"/>
          <w:szCs w:val="32"/>
          <w:u w:val="none"/>
          <w:lang w:val="en-US" w:eastAsia="zh-CN"/>
        </w:rPr>
        <w:t>万元</w:t>
      </w:r>
      <w:r>
        <w:rPr>
          <w:rFonts w:hint="eastAsia" w:ascii="仿宋_GB2312" w:hAnsi="仿宋_GB2312" w:eastAsia="仿宋_GB2312" w:cs="仿宋_GB2312"/>
          <w:color w:val="auto"/>
          <w:kern w:val="0"/>
          <w:sz w:val="32"/>
          <w:szCs w:val="32"/>
          <w:u w:val="none"/>
        </w:rPr>
        <w:t>。</w:t>
      </w:r>
    </w:p>
    <w:p w14:paraId="0A0F60CA">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val="0"/>
          <w:color w:val="auto"/>
          <w:kern w:val="0"/>
          <w:sz w:val="32"/>
          <w:szCs w:val="32"/>
        </w:rPr>
      </w:pPr>
      <w:r>
        <w:rPr>
          <w:rFonts w:hint="eastAsia" w:ascii="黑体" w:hAnsi="黑体" w:eastAsia="黑体" w:cs="黑体"/>
          <w:b w:val="0"/>
          <w:bCs w:val="0"/>
          <w:color w:val="auto"/>
          <w:kern w:val="0"/>
          <w:sz w:val="32"/>
          <w:szCs w:val="32"/>
        </w:rPr>
        <w:t>八、财政拨款</w:t>
      </w:r>
      <w:r>
        <w:rPr>
          <w:rFonts w:hint="eastAsia" w:ascii="黑体" w:hAnsi="黑体" w:eastAsia="黑体" w:cs="黑体"/>
          <w:b w:val="0"/>
          <w:bCs w:val="0"/>
          <w:color w:val="auto"/>
          <w:kern w:val="0"/>
          <w:sz w:val="32"/>
          <w:szCs w:val="32"/>
          <w:lang w:eastAsia="en-US"/>
        </w:rPr>
        <w:t>“</w:t>
      </w:r>
      <w:r>
        <w:rPr>
          <w:rFonts w:hint="eastAsia" w:ascii="黑体" w:hAnsi="黑体" w:eastAsia="黑体" w:cs="黑体"/>
          <w:b w:val="0"/>
          <w:bCs w:val="0"/>
          <w:color w:val="auto"/>
          <w:kern w:val="0"/>
          <w:sz w:val="32"/>
          <w:szCs w:val="32"/>
        </w:rPr>
        <w:t>三公</w:t>
      </w:r>
      <w:r>
        <w:rPr>
          <w:rFonts w:hint="eastAsia" w:ascii="黑体" w:hAnsi="黑体" w:eastAsia="黑体" w:cs="黑体"/>
          <w:b w:val="0"/>
          <w:bCs w:val="0"/>
          <w:color w:val="auto"/>
          <w:kern w:val="0"/>
          <w:sz w:val="32"/>
          <w:szCs w:val="32"/>
          <w:lang w:eastAsia="en-US"/>
        </w:rPr>
        <w:t>”</w:t>
      </w:r>
      <w:r>
        <w:rPr>
          <w:rFonts w:hint="eastAsia" w:ascii="黑体" w:hAnsi="黑体" w:eastAsia="黑体" w:cs="黑体"/>
          <w:b w:val="0"/>
          <w:bCs w:val="0"/>
          <w:color w:val="auto"/>
          <w:kern w:val="0"/>
          <w:sz w:val="32"/>
          <w:szCs w:val="32"/>
        </w:rPr>
        <w:t>经费支出决算情况说明</w:t>
      </w:r>
    </w:p>
    <w:p w14:paraId="1B24216E">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b/>
          <w:bCs/>
          <w:color w:val="auto"/>
          <w:kern w:val="0"/>
          <w:sz w:val="32"/>
          <w:szCs w:val="32"/>
        </w:rPr>
        <w:t>（一）财政拨款</w:t>
      </w:r>
      <w:r>
        <w:rPr>
          <w:rFonts w:hint="eastAsia" w:ascii="楷体_GB2312" w:hAnsi="楷体_GB2312" w:eastAsia="楷体_GB2312" w:cs="楷体_GB2312"/>
          <w:b/>
          <w:bCs/>
          <w:color w:val="auto"/>
          <w:kern w:val="0"/>
          <w:sz w:val="32"/>
          <w:szCs w:val="32"/>
          <w:lang w:eastAsia="en-US"/>
        </w:rPr>
        <w:t>“</w:t>
      </w:r>
      <w:r>
        <w:rPr>
          <w:rFonts w:hint="eastAsia" w:ascii="楷体_GB2312" w:hAnsi="楷体_GB2312" w:eastAsia="楷体_GB2312" w:cs="楷体_GB2312"/>
          <w:b/>
          <w:bCs/>
          <w:color w:val="auto"/>
          <w:kern w:val="0"/>
          <w:sz w:val="32"/>
          <w:szCs w:val="32"/>
        </w:rPr>
        <w:t>三公</w:t>
      </w:r>
      <w:r>
        <w:rPr>
          <w:rFonts w:hint="eastAsia" w:ascii="楷体_GB2312" w:hAnsi="楷体_GB2312" w:eastAsia="楷体_GB2312" w:cs="楷体_GB2312"/>
          <w:b/>
          <w:bCs/>
          <w:color w:val="auto"/>
          <w:kern w:val="0"/>
          <w:sz w:val="32"/>
          <w:szCs w:val="32"/>
          <w:lang w:eastAsia="en-US"/>
        </w:rPr>
        <w:t>”</w:t>
      </w:r>
      <w:r>
        <w:rPr>
          <w:rFonts w:hint="eastAsia" w:ascii="楷体_GB2312" w:hAnsi="楷体_GB2312" w:eastAsia="楷体_GB2312" w:cs="楷体_GB2312"/>
          <w:b/>
          <w:bCs/>
          <w:color w:val="auto"/>
          <w:kern w:val="0"/>
          <w:sz w:val="32"/>
          <w:szCs w:val="32"/>
        </w:rPr>
        <w:t>经费支出总体情况说明。</w:t>
      </w:r>
    </w:p>
    <w:p w14:paraId="4DCC7D4E">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rPr>
        <w:t>年度财政拨款“三公”经费全年预算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万元，完成预算的</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。其中：因公出国（境）费全年预算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万元，完成预算的</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；公务用车购置及运行维护费全年预算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万元，完成预算的</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；公务接待费全年预算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万元，完成预算的</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rPr>
        <w:t>年度一般公共预算财政拨款“三公”经费全年预算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万元，支出决算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万元，与预算差异原因</w:t>
      </w:r>
      <w:r>
        <w:rPr>
          <w:rFonts w:hint="eastAsia" w:ascii="仿宋_GB2312" w:hAnsi="仿宋_GB2312" w:eastAsia="仿宋_GB2312" w:cs="仿宋_GB2312"/>
          <w:color w:val="auto"/>
          <w:kern w:val="0"/>
          <w:sz w:val="32"/>
          <w:szCs w:val="32"/>
          <w:u w:val="none"/>
          <w:lang w:eastAsia="zh-CN"/>
        </w:rPr>
        <w:t>：</w:t>
      </w:r>
      <w:r>
        <w:rPr>
          <w:rFonts w:hint="eastAsia" w:ascii="仿宋_GB2312" w:hAnsi="仿宋_GB2312" w:eastAsia="仿宋_GB2312" w:cs="仿宋_GB2312"/>
          <w:color w:val="auto"/>
          <w:kern w:val="0"/>
          <w:sz w:val="32"/>
          <w:szCs w:val="32"/>
          <w:u w:val="none"/>
          <w:lang w:val="en-US" w:eastAsia="zh-CN"/>
        </w:rPr>
        <w:t>我单位无财政拨款“三公”经费支出</w:t>
      </w:r>
      <w:r>
        <w:rPr>
          <w:rFonts w:hint="eastAsia" w:ascii="仿宋_GB2312" w:hAnsi="仿宋_GB2312" w:eastAsia="仿宋_GB2312" w:cs="仿宋_GB2312"/>
          <w:color w:val="auto"/>
          <w:kern w:val="0"/>
          <w:sz w:val="32"/>
          <w:szCs w:val="32"/>
          <w:u w:val="none"/>
        </w:rPr>
        <w:t>。</w:t>
      </w:r>
    </w:p>
    <w:p w14:paraId="068AB5A4">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u w:val="none"/>
        </w:rPr>
      </w:pPr>
      <w:r>
        <w:rPr>
          <w:rFonts w:hint="eastAsia" w:ascii="楷体_GB2312" w:hAnsi="楷体_GB2312" w:eastAsia="楷体_GB2312" w:cs="楷体_GB2312"/>
          <w:b/>
          <w:bCs/>
          <w:color w:val="auto"/>
          <w:kern w:val="0"/>
          <w:sz w:val="32"/>
          <w:szCs w:val="32"/>
          <w:u w:val="none"/>
        </w:rPr>
        <w:t>（二）财政拨款</w:t>
      </w:r>
      <w:r>
        <w:rPr>
          <w:rFonts w:hint="eastAsia" w:ascii="楷体_GB2312" w:hAnsi="楷体_GB2312" w:eastAsia="楷体_GB2312" w:cs="楷体_GB2312"/>
          <w:b/>
          <w:bCs/>
          <w:color w:val="auto"/>
          <w:kern w:val="0"/>
          <w:sz w:val="32"/>
          <w:szCs w:val="32"/>
          <w:u w:val="none"/>
          <w:lang w:eastAsia="en-US"/>
        </w:rPr>
        <w:t>“</w:t>
      </w:r>
      <w:r>
        <w:rPr>
          <w:rFonts w:hint="eastAsia" w:ascii="楷体_GB2312" w:hAnsi="楷体_GB2312" w:eastAsia="楷体_GB2312" w:cs="楷体_GB2312"/>
          <w:b/>
          <w:bCs/>
          <w:color w:val="auto"/>
          <w:kern w:val="0"/>
          <w:sz w:val="32"/>
          <w:szCs w:val="32"/>
          <w:u w:val="none"/>
        </w:rPr>
        <w:t>三公</w:t>
      </w:r>
      <w:r>
        <w:rPr>
          <w:rFonts w:hint="eastAsia" w:ascii="楷体_GB2312" w:hAnsi="楷体_GB2312" w:eastAsia="楷体_GB2312" w:cs="楷体_GB2312"/>
          <w:b/>
          <w:bCs/>
          <w:color w:val="auto"/>
          <w:kern w:val="0"/>
          <w:sz w:val="32"/>
          <w:szCs w:val="32"/>
          <w:u w:val="none"/>
          <w:lang w:eastAsia="en-US"/>
        </w:rPr>
        <w:t>”</w:t>
      </w:r>
      <w:r>
        <w:rPr>
          <w:rFonts w:hint="eastAsia" w:ascii="楷体_GB2312" w:hAnsi="楷体_GB2312" w:eastAsia="楷体_GB2312" w:cs="楷体_GB2312"/>
          <w:b/>
          <w:bCs/>
          <w:color w:val="auto"/>
          <w:kern w:val="0"/>
          <w:sz w:val="32"/>
          <w:szCs w:val="32"/>
          <w:u w:val="none"/>
        </w:rPr>
        <w:t>经费支出具体情况说明。</w:t>
      </w:r>
    </w:p>
    <w:p w14:paraId="4923103B">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rPr>
        <w:t>年度财政拨款“三公”经费支出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万元。因公出国（境）费支出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；公务用车购置及运行维护费支出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；公务接待费支出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万元，占</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。其中：</w:t>
      </w:r>
    </w:p>
    <w:p w14:paraId="73859050">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b w:val="0"/>
          <w:bCs w:val="0"/>
          <w:color w:val="auto"/>
          <w:kern w:val="0"/>
          <w:sz w:val="32"/>
          <w:szCs w:val="32"/>
          <w:u w:val="none"/>
          <w:lang w:eastAsia="zh-CN"/>
        </w:rPr>
        <w:t>1</w:t>
      </w:r>
      <w:r>
        <w:rPr>
          <w:rFonts w:hint="eastAsia" w:ascii="仿宋_GB2312" w:hAnsi="仿宋_GB2312" w:eastAsia="仿宋_GB2312" w:cs="仿宋_GB2312"/>
          <w:b w:val="0"/>
          <w:bCs w:val="0"/>
          <w:color w:val="auto"/>
          <w:kern w:val="0"/>
          <w:sz w:val="32"/>
          <w:szCs w:val="32"/>
          <w:u w:val="none"/>
          <w:lang w:eastAsia="en-US"/>
        </w:rPr>
        <w:t>.</w:t>
      </w:r>
      <w:r>
        <w:rPr>
          <w:rFonts w:hint="eastAsia" w:ascii="仿宋_GB2312" w:hAnsi="仿宋_GB2312" w:eastAsia="仿宋_GB2312" w:cs="仿宋_GB2312"/>
          <w:b w:val="0"/>
          <w:bCs w:val="0"/>
          <w:color w:val="auto"/>
          <w:kern w:val="0"/>
          <w:sz w:val="32"/>
          <w:szCs w:val="32"/>
          <w:u w:val="none"/>
        </w:rPr>
        <w:t>因公出国（境）费支出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b w:val="0"/>
          <w:bCs w:val="0"/>
          <w:color w:val="auto"/>
          <w:kern w:val="0"/>
          <w:sz w:val="32"/>
          <w:szCs w:val="32"/>
          <w:u w:val="none"/>
        </w:rPr>
        <w:t>万元</w:t>
      </w:r>
      <w:r>
        <w:rPr>
          <w:rFonts w:hint="eastAsia" w:ascii="仿宋_GB2312" w:hAnsi="仿宋_GB2312" w:eastAsia="仿宋_GB2312" w:cs="仿宋_GB2312"/>
          <w:color w:val="auto"/>
          <w:kern w:val="0"/>
          <w:sz w:val="32"/>
          <w:szCs w:val="32"/>
          <w:u w:val="none"/>
        </w:rPr>
        <w:t>，全年出国（境）团组</w:t>
      </w:r>
      <w:r>
        <w:rPr>
          <w:rFonts w:hint="eastAsia" w:ascii="Times New Roman" w:hAnsi="Times New Roman" w:eastAsia="仿宋_GB2312" w:cs="仿宋_GB2312"/>
          <w:color w:val="auto"/>
          <w:kern w:val="0"/>
          <w:sz w:val="32"/>
          <w:szCs w:val="32"/>
          <w:u w:val="none"/>
          <w:lang w:val="en-US" w:eastAsia="zh-CN"/>
        </w:rPr>
        <w:t>0</w:t>
      </w:r>
      <w:r>
        <w:rPr>
          <w:rFonts w:hint="eastAsia" w:ascii="仿宋_GB2312" w:hAnsi="仿宋_GB2312" w:eastAsia="仿宋_GB2312" w:cs="仿宋_GB2312"/>
          <w:color w:val="auto"/>
          <w:kern w:val="0"/>
          <w:sz w:val="32"/>
          <w:szCs w:val="32"/>
          <w:u w:val="none"/>
        </w:rPr>
        <w:t>个，累计</w:t>
      </w:r>
      <w:r>
        <w:rPr>
          <w:rFonts w:hint="eastAsia" w:ascii="Times New Roman" w:hAnsi="Times New Roman" w:eastAsia="仿宋_GB2312" w:cs="仿宋_GB2312"/>
          <w:color w:val="auto"/>
          <w:kern w:val="0"/>
          <w:sz w:val="32"/>
          <w:szCs w:val="32"/>
          <w:u w:val="none"/>
          <w:lang w:val="en-US" w:eastAsia="zh-CN"/>
        </w:rPr>
        <w:t>0</w:t>
      </w:r>
      <w:r>
        <w:rPr>
          <w:rFonts w:hint="eastAsia" w:ascii="仿宋_GB2312" w:hAnsi="仿宋_GB2312" w:eastAsia="仿宋_GB2312" w:cs="仿宋_GB2312"/>
          <w:color w:val="auto"/>
          <w:kern w:val="0"/>
          <w:sz w:val="32"/>
          <w:szCs w:val="32"/>
          <w:u w:val="none"/>
        </w:rPr>
        <w:t>人次。与上年决算相比，增加</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val="en-US" w:eastAsia="zh-CN"/>
        </w:rPr>
        <w:t>我单位不涉及因公出国（境）费支出</w:t>
      </w:r>
      <w:r>
        <w:rPr>
          <w:rFonts w:hint="eastAsia" w:ascii="仿宋_GB2312" w:hAnsi="仿宋_GB2312" w:eastAsia="仿宋_GB2312" w:cs="仿宋_GB2312"/>
          <w:color w:val="auto"/>
          <w:kern w:val="0"/>
          <w:sz w:val="32"/>
          <w:szCs w:val="32"/>
          <w:u w:val="none"/>
        </w:rPr>
        <w:t>。</w:t>
      </w:r>
    </w:p>
    <w:p w14:paraId="194A224A">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b w:val="0"/>
          <w:bCs w:val="0"/>
          <w:color w:val="auto"/>
          <w:kern w:val="0"/>
          <w:sz w:val="32"/>
          <w:szCs w:val="32"/>
          <w:u w:val="none"/>
          <w:lang w:eastAsia="zh-CN"/>
        </w:rPr>
        <w:t>2</w:t>
      </w:r>
      <w:r>
        <w:rPr>
          <w:rFonts w:hint="eastAsia" w:ascii="仿宋_GB2312" w:hAnsi="仿宋_GB2312" w:eastAsia="仿宋_GB2312" w:cs="仿宋_GB2312"/>
          <w:b w:val="0"/>
          <w:bCs w:val="0"/>
          <w:color w:val="auto"/>
          <w:kern w:val="0"/>
          <w:sz w:val="32"/>
          <w:szCs w:val="32"/>
          <w:u w:val="none"/>
          <w:lang w:eastAsia="en-US"/>
        </w:rPr>
        <w:t>.</w:t>
      </w:r>
      <w:r>
        <w:rPr>
          <w:rFonts w:hint="eastAsia" w:ascii="仿宋_GB2312" w:hAnsi="仿宋_GB2312" w:eastAsia="仿宋_GB2312" w:cs="仿宋_GB2312"/>
          <w:b w:val="0"/>
          <w:bCs w:val="0"/>
          <w:color w:val="auto"/>
          <w:kern w:val="0"/>
          <w:sz w:val="32"/>
          <w:szCs w:val="32"/>
          <w:u w:val="none"/>
        </w:rPr>
        <w:t>公务用车购置及运行维护费支出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万元。其中：</w:t>
      </w:r>
    </w:p>
    <w:p w14:paraId="7806CCB1">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b w:val="0"/>
          <w:bCs w:val="0"/>
          <w:color w:val="auto"/>
          <w:kern w:val="0"/>
          <w:sz w:val="32"/>
          <w:szCs w:val="32"/>
          <w:u w:val="none"/>
        </w:rPr>
        <w:t>（</w:t>
      </w:r>
      <w:r>
        <w:rPr>
          <w:rFonts w:hint="eastAsia" w:ascii="Times New Roman" w:hAnsi="Times New Roman" w:eastAsia="仿宋_GB2312" w:cs="仿宋_GB2312"/>
          <w:b w:val="0"/>
          <w:bCs w:val="0"/>
          <w:color w:val="auto"/>
          <w:kern w:val="0"/>
          <w:sz w:val="32"/>
          <w:szCs w:val="32"/>
          <w:u w:val="none"/>
          <w:lang w:eastAsia="zh-CN"/>
        </w:rPr>
        <w:t>1</w:t>
      </w:r>
      <w:r>
        <w:rPr>
          <w:rFonts w:hint="eastAsia" w:ascii="仿宋_GB2312" w:hAnsi="仿宋_GB2312" w:eastAsia="仿宋_GB2312" w:cs="仿宋_GB2312"/>
          <w:b w:val="0"/>
          <w:bCs w:val="0"/>
          <w:color w:val="auto"/>
          <w:kern w:val="0"/>
          <w:sz w:val="32"/>
          <w:szCs w:val="32"/>
          <w:u w:val="none"/>
        </w:rPr>
        <w:t>）公务用车购置支出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b w:val="0"/>
          <w:bCs w:val="0"/>
          <w:color w:val="auto"/>
          <w:kern w:val="0"/>
          <w:sz w:val="32"/>
          <w:szCs w:val="32"/>
          <w:u w:val="none"/>
        </w:rPr>
        <w:t>万</w:t>
      </w:r>
      <w:r>
        <w:rPr>
          <w:rFonts w:hint="eastAsia" w:ascii="仿宋_GB2312" w:hAnsi="仿宋_GB2312" w:eastAsia="仿宋_GB2312" w:cs="仿宋_GB2312"/>
          <w:color w:val="auto"/>
          <w:kern w:val="0"/>
          <w:sz w:val="32"/>
          <w:szCs w:val="32"/>
          <w:u w:val="none"/>
        </w:rPr>
        <w:t>元。本年度使用财政拨款购置公务用车</w:t>
      </w:r>
      <w:r>
        <w:rPr>
          <w:rFonts w:hint="eastAsia" w:ascii="Times New Roman" w:hAnsi="Times New Roman" w:eastAsia="仿宋_GB2312" w:cs="仿宋_GB2312"/>
          <w:color w:val="auto"/>
          <w:kern w:val="0"/>
          <w:sz w:val="32"/>
          <w:szCs w:val="32"/>
          <w:u w:val="none"/>
          <w:lang w:val="en-US" w:eastAsia="zh-CN"/>
        </w:rPr>
        <w:t>0</w:t>
      </w:r>
      <w:r>
        <w:rPr>
          <w:rFonts w:hint="eastAsia" w:ascii="仿宋_GB2312" w:hAnsi="仿宋_GB2312" w:eastAsia="仿宋_GB2312" w:cs="仿宋_GB2312"/>
          <w:color w:val="auto"/>
          <w:kern w:val="0"/>
          <w:sz w:val="32"/>
          <w:szCs w:val="32"/>
          <w:u w:val="none"/>
        </w:rPr>
        <w:t>辆，开支内容</w:t>
      </w:r>
      <w:r>
        <w:rPr>
          <w:rFonts w:hint="eastAsia" w:ascii="仿宋_GB2312" w:hAnsi="仿宋_GB2312" w:eastAsia="仿宋_GB2312" w:cs="仿宋_GB2312"/>
          <w:color w:val="auto"/>
          <w:kern w:val="0"/>
          <w:sz w:val="32"/>
          <w:szCs w:val="32"/>
          <w:u w:val="none"/>
          <w:lang w:eastAsia="zh-CN"/>
        </w:rPr>
        <w:t>：</w:t>
      </w:r>
      <w:r>
        <w:rPr>
          <w:rFonts w:hint="eastAsia" w:ascii="仿宋_GB2312" w:hAnsi="仿宋_GB2312" w:eastAsia="仿宋_GB2312" w:cs="仿宋_GB2312"/>
          <w:color w:val="auto"/>
          <w:kern w:val="0"/>
          <w:sz w:val="32"/>
          <w:szCs w:val="32"/>
          <w:u w:val="none"/>
          <w:lang w:val="en-US" w:eastAsia="zh-CN"/>
        </w:rPr>
        <w:t>无</w:t>
      </w:r>
      <w:r>
        <w:rPr>
          <w:rFonts w:hint="eastAsia" w:ascii="仿宋_GB2312" w:hAnsi="仿宋_GB2312" w:eastAsia="仿宋_GB2312" w:cs="仿宋_GB2312"/>
          <w:color w:val="auto"/>
          <w:kern w:val="0"/>
          <w:sz w:val="32"/>
          <w:szCs w:val="32"/>
          <w:u w:val="none"/>
        </w:rPr>
        <w:t>。与上年决算相比，增加</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eastAsia="zh-CN"/>
        </w:rPr>
        <w:t>：</w:t>
      </w:r>
      <w:r>
        <w:rPr>
          <w:rFonts w:hint="eastAsia" w:ascii="仿宋_GB2312" w:hAnsi="仿宋_GB2312" w:eastAsia="仿宋_GB2312" w:cs="仿宋_GB2312"/>
          <w:color w:val="auto"/>
          <w:kern w:val="0"/>
          <w:sz w:val="32"/>
          <w:szCs w:val="32"/>
          <w:u w:val="none"/>
          <w:lang w:val="en-US" w:eastAsia="zh-CN"/>
        </w:rPr>
        <w:t>我单位本年度无公务用车购置支出</w:t>
      </w:r>
      <w:r>
        <w:rPr>
          <w:rFonts w:hint="eastAsia" w:ascii="仿宋_GB2312" w:hAnsi="仿宋_GB2312" w:eastAsia="仿宋_GB2312" w:cs="仿宋_GB2312"/>
          <w:color w:val="auto"/>
          <w:kern w:val="0"/>
          <w:sz w:val="32"/>
          <w:szCs w:val="32"/>
          <w:u w:val="none"/>
        </w:rPr>
        <w:t>。</w:t>
      </w:r>
    </w:p>
    <w:p w14:paraId="58AF5AC0">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b w:val="0"/>
          <w:bCs w:val="0"/>
          <w:color w:val="auto"/>
          <w:kern w:val="0"/>
          <w:sz w:val="32"/>
          <w:szCs w:val="32"/>
          <w:u w:val="none"/>
        </w:rPr>
        <w:t>（</w:t>
      </w:r>
      <w:r>
        <w:rPr>
          <w:rFonts w:hint="eastAsia" w:ascii="Times New Roman" w:hAnsi="Times New Roman" w:eastAsia="仿宋_GB2312" w:cs="仿宋_GB2312"/>
          <w:b w:val="0"/>
          <w:bCs w:val="0"/>
          <w:color w:val="auto"/>
          <w:kern w:val="0"/>
          <w:sz w:val="32"/>
          <w:szCs w:val="32"/>
          <w:u w:val="none"/>
          <w:lang w:eastAsia="zh-CN"/>
        </w:rPr>
        <w:t>2</w:t>
      </w:r>
      <w:r>
        <w:rPr>
          <w:rFonts w:hint="eastAsia" w:ascii="仿宋_GB2312" w:hAnsi="仿宋_GB2312" w:eastAsia="仿宋_GB2312" w:cs="仿宋_GB2312"/>
          <w:b w:val="0"/>
          <w:bCs w:val="0"/>
          <w:color w:val="auto"/>
          <w:kern w:val="0"/>
          <w:sz w:val="32"/>
          <w:szCs w:val="32"/>
          <w:u w:val="none"/>
        </w:rPr>
        <w:t>）公务用车运行维护费支出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万元。公务用车运行维护费主要用于按规定保留的公务用车的燃料费、新能源汽车充电费、维修费、过桥过路费、保险费、安全奖励费用等支出。截至</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rPr>
        <w:t>年</w:t>
      </w:r>
      <w:r>
        <w:rPr>
          <w:rFonts w:hint="eastAsia" w:ascii="Times New Roman" w:hAnsi="Times New Roman" w:eastAsia="仿宋_GB2312" w:cs="仿宋_GB2312"/>
          <w:color w:val="auto"/>
          <w:kern w:val="0"/>
          <w:sz w:val="32"/>
          <w:szCs w:val="32"/>
          <w:u w:val="none"/>
          <w:lang w:val="en-US" w:eastAsia="zh-CN"/>
        </w:rPr>
        <w:t>12</w:t>
      </w:r>
      <w:r>
        <w:rPr>
          <w:rFonts w:hint="eastAsia" w:ascii="仿宋_GB2312" w:hAnsi="仿宋_GB2312" w:eastAsia="仿宋_GB2312" w:cs="仿宋_GB2312"/>
          <w:color w:val="auto"/>
          <w:kern w:val="0"/>
          <w:sz w:val="32"/>
          <w:szCs w:val="32"/>
          <w:u w:val="none"/>
        </w:rPr>
        <w:t>月</w:t>
      </w:r>
      <w:r>
        <w:rPr>
          <w:rFonts w:hint="eastAsia" w:ascii="Times New Roman" w:hAnsi="Times New Roman" w:eastAsia="仿宋_GB2312" w:cs="仿宋_GB2312"/>
          <w:color w:val="auto"/>
          <w:kern w:val="0"/>
          <w:sz w:val="32"/>
          <w:szCs w:val="32"/>
          <w:u w:val="none"/>
          <w:lang w:val="en-US" w:eastAsia="zh-CN"/>
        </w:rPr>
        <w:t>31</w:t>
      </w:r>
      <w:r>
        <w:rPr>
          <w:rFonts w:hint="eastAsia" w:ascii="仿宋_GB2312" w:hAnsi="仿宋_GB2312" w:eastAsia="仿宋_GB2312" w:cs="仿宋_GB2312"/>
          <w:color w:val="auto"/>
          <w:kern w:val="0"/>
          <w:sz w:val="32"/>
          <w:szCs w:val="32"/>
          <w:u w:val="none"/>
        </w:rPr>
        <w:t>日，使用财政拨款开支的公务用车保有量为</w:t>
      </w:r>
      <w:r>
        <w:rPr>
          <w:rFonts w:hint="eastAsia" w:ascii="Times New Roman" w:hAnsi="Times New Roman" w:eastAsia="仿宋_GB2312" w:cs="仿宋_GB2312"/>
          <w:color w:val="auto"/>
          <w:kern w:val="0"/>
          <w:sz w:val="32"/>
          <w:szCs w:val="32"/>
          <w:u w:val="none"/>
          <w:lang w:val="en-US" w:eastAsia="zh-CN"/>
        </w:rPr>
        <w:t>0</w:t>
      </w:r>
      <w:r>
        <w:rPr>
          <w:rFonts w:hint="eastAsia" w:ascii="仿宋_GB2312" w:hAnsi="仿宋_GB2312" w:eastAsia="仿宋_GB2312" w:cs="仿宋_GB2312"/>
          <w:color w:val="auto"/>
          <w:kern w:val="0"/>
          <w:sz w:val="32"/>
          <w:szCs w:val="32"/>
          <w:u w:val="none"/>
        </w:rPr>
        <w:t>辆。与上年决算相比，增加</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val="en-US" w:eastAsia="zh-CN"/>
        </w:rPr>
        <w:t>我单位本年度无公务用车运行维护费支出</w:t>
      </w:r>
      <w:r>
        <w:rPr>
          <w:rFonts w:hint="eastAsia" w:ascii="仿宋_GB2312" w:hAnsi="仿宋_GB2312" w:eastAsia="仿宋_GB2312" w:cs="仿宋_GB2312"/>
          <w:color w:val="auto"/>
          <w:kern w:val="0"/>
          <w:sz w:val="32"/>
          <w:szCs w:val="32"/>
          <w:u w:val="none"/>
        </w:rPr>
        <w:t>。</w:t>
      </w:r>
    </w:p>
    <w:p w14:paraId="34FB0A95">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Times New Roman" w:hAnsi="Times New Roman" w:eastAsia="仿宋_GB2312" w:cs="仿宋_GB2312"/>
          <w:b w:val="0"/>
          <w:bCs w:val="0"/>
          <w:color w:val="auto"/>
          <w:kern w:val="0"/>
          <w:sz w:val="32"/>
          <w:szCs w:val="32"/>
          <w:u w:val="none"/>
          <w:lang w:eastAsia="zh-CN"/>
        </w:rPr>
        <w:t>3</w:t>
      </w:r>
      <w:r>
        <w:rPr>
          <w:rFonts w:hint="eastAsia" w:ascii="仿宋_GB2312" w:hAnsi="仿宋_GB2312" w:eastAsia="仿宋_GB2312" w:cs="仿宋_GB2312"/>
          <w:b w:val="0"/>
          <w:bCs w:val="0"/>
          <w:color w:val="auto"/>
          <w:kern w:val="0"/>
          <w:sz w:val="32"/>
          <w:szCs w:val="32"/>
          <w:u w:val="none"/>
          <w:lang w:eastAsia="en-US"/>
        </w:rPr>
        <w:t>.</w:t>
      </w:r>
      <w:r>
        <w:rPr>
          <w:rFonts w:hint="eastAsia" w:ascii="仿宋_GB2312" w:hAnsi="仿宋_GB2312" w:eastAsia="仿宋_GB2312" w:cs="仿宋_GB2312"/>
          <w:b w:val="0"/>
          <w:bCs w:val="0"/>
          <w:color w:val="auto"/>
          <w:kern w:val="0"/>
          <w:sz w:val="32"/>
          <w:szCs w:val="32"/>
          <w:u w:val="none"/>
        </w:rPr>
        <w:t>公务接待费支出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万元。其中：国内公务接待支出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万元，接待</w:t>
      </w:r>
      <w:r>
        <w:rPr>
          <w:rFonts w:hint="eastAsia" w:ascii="Times New Roman" w:hAnsi="Times New Roman" w:eastAsia="仿宋_GB2312" w:cs="仿宋_GB2312"/>
          <w:color w:val="auto"/>
          <w:kern w:val="0"/>
          <w:sz w:val="32"/>
          <w:szCs w:val="32"/>
          <w:u w:val="none"/>
          <w:lang w:val="en-US" w:eastAsia="zh-CN"/>
        </w:rPr>
        <w:t>0</w:t>
      </w:r>
      <w:r>
        <w:rPr>
          <w:rFonts w:hint="eastAsia" w:ascii="仿宋_GB2312" w:hAnsi="仿宋_GB2312" w:eastAsia="仿宋_GB2312" w:cs="仿宋_GB2312"/>
          <w:color w:val="auto"/>
          <w:kern w:val="0"/>
          <w:sz w:val="32"/>
          <w:szCs w:val="32"/>
          <w:u w:val="none"/>
        </w:rPr>
        <w:t>批次，</w:t>
      </w:r>
      <w:r>
        <w:rPr>
          <w:rFonts w:hint="eastAsia" w:ascii="Times New Roman" w:hAnsi="Times New Roman" w:eastAsia="仿宋_GB2312" w:cs="仿宋_GB2312"/>
          <w:color w:val="auto"/>
          <w:kern w:val="0"/>
          <w:sz w:val="32"/>
          <w:szCs w:val="32"/>
          <w:u w:val="none"/>
          <w:lang w:val="en-US" w:eastAsia="zh-CN"/>
        </w:rPr>
        <w:t>0</w:t>
      </w:r>
      <w:r>
        <w:rPr>
          <w:rFonts w:hint="eastAsia" w:ascii="仿宋_GB2312" w:hAnsi="仿宋_GB2312" w:eastAsia="仿宋_GB2312" w:cs="仿宋_GB2312"/>
          <w:color w:val="auto"/>
          <w:kern w:val="0"/>
          <w:sz w:val="32"/>
          <w:szCs w:val="32"/>
          <w:u w:val="none"/>
        </w:rPr>
        <w:t>人次，开支内容：</w:t>
      </w:r>
      <w:r>
        <w:rPr>
          <w:rFonts w:hint="eastAsia" w:ascii="仿宋_GB2312" w:hAnsi="仿宋_GB2312" w:eastAsia="仿宋_GB2312" w:cs="仿宋_GB2312"/>
          <w:color w:val="auto"/>
          <w:kern w:val="0"/>
          <w:sz w:val="32"/>
          <w:szCs w:val="32"/>
          <w:u w:val="none"/>
          <w:lang w:val="en-US" w:eastAsia="zh-CN"/>
        </w:rPr>
        <w:t>无</w:t>
      </w:r>
      <w:r>
        <w:rPr>
          <w:rFonts w:hint="eastAsia" w:ascii="仿宋_GB2312" w:hAnsi="仿宋_GB2312" w:eastAsia="仿宋_GB2312" w:cs="仿宋_GB2312"/>
          <w:color w:val="auto"/>
          <w:kern w:val="0"/>
          <w:sz w:val="32"/>
          <w:szCs w:val="32"/>
          <w:u w:val="none"/>
        </w:rPr>
        <w:t>；国（境）外公务接待支出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万元，接待</w:t>
      </w:r>
      <w:r>
        <w:rPr>
          <w:rFonts w:hint="eastAsia" w:ascii="Times New Roman" w:hAnsi="Times New Roman" w:eastAsia="仿宋_GB2312" w:cs="仿宋_GB2312"/>
          <w:color w:val="auto"/>
          <w:kern w:val="0"/>
          <w:sz w:val="32"/>
          <w:szCs w:val="32"/>
          <w:u w:val="none"/>
          <w:lang w:val="en-US" w:eastAsia="zh-CN"/>
        </w:rPr>
        <w:t>0</w:t>
      </w:r>
      <w:r>
        <w:rPr>
          <w:rFonts w:hint="eastAsia" w:ascii="仿宋_GB2312" w:hAnsi="仿宋_GB2312" w:eastAsia="仿宋_GB2312" w:cs="仿宋_GB2312"/>
          <w:color w:val="auto"/>
          <w:kern w:val="0"/>
          <w:sz w:val="32"/>
          <w:szCs w:val="32"/>
          <w:u w:val="none"/>
        </w:rPr>
        <w:t>批次，</w:t>
      </w:r>
      <w:r>
        <w:rPr>
          <w:rFonts w:hint="eastAsia" w:ascii="Times New Roman" w:hAnsi="Times New Roman" w:eastAsia="仿宋_GB2312" w:cs="仿宋_GB2312"/>
          <w:color w:val="auto"/>
          <w:kern w:val="0"/>
          <w:sz w:val="32"/>
          <w:szCs w:val="32"/>
          <w:u w:val="none"/>
          <w:lang w:val="en-US" w:eastAsia="zh-CN"/>
        </w:rPr>
        <w:t>0</w:t>
      </w:r>
      <w:r>
        <w:rPr>
          <w:rFonts w:hint="eastAsia" w:ascii="仿宋_GB2312" w:hAnsi="仿宋_GB2312" w:eastAsia="仿宋_GB2312" w:cs="仿宋_GB2312"/>
          <w:color w:val="auto"/>
          <w:kern w:val="0"/>
          <w:sz w:val="32"/>
          <w:szCs w:val="32"/>
          <w:u w:val="none"/>
        </w:rPr>
        <w:t>人次，开支内容：</w:t>
      </w:r>
      <w:r>
        <w:rPr>
          <w:rFonts w:hint="eastAsia" w:ascii="仿宋_GB2312" w:hAnsi="仿宋_GB2312" w:eastAsia="仿宋_GB2312" w:cs="仿宋_GB2312"/>
          <w:color w:val="auto"/>
          <w:kern w:val="0"/>
          <w:sz w:val="32"/>
          <w:szCs w:val="32"/>
          <w:u w:val="none"/>
          <w:lang w:val="en-US" w:eastAsia="zh-CN"/>
        </w:rPr>
        <w:t>无</w:t>
      </w:r>
      <w:r>
        <w:rPr>
          <w:rFonts w:hint="eastAsia" w:ascii="仿宋_GB2312" w:hAnsi="仿宋_GB2312" w:eastAsia="仿宋_GB2312" w:cs="仿宋_GB2312"/>
          <w:color w:val="auto"/>
          <w:kern w:val="0"/>
          <w:sz w:val="32"/>
          <w:szCs w:val="32"/>
          <w:u w:val="none"/>
        </w:rPr>
        <w:t>。与上年决算相比，增加</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eastAsia="zh-CN"/>
        </w:rPr>
        <w:t>：</w:t>
      </w:r>
      <w:r>
        <w:rPr>
          <w:rFonts w:hint="eastAsia" w:ascii="仿宋_GB2312" w:hAnsi="仿宋_GB2312" w:eastAsia="仿宋_GB2312" w:cs="仿宋_GB2312"/>
          <w:color w:val="auto"/>
          <w:kern w:val="0"/>
          <w:sz w:val="32"/>
          <w:szCs w:val="32"/>
          <w:u w:val="none"/>
          <w:lang w:val="en-US" w:eastAsia="zh-CN"/>
        </w:rPr>
        <w:t>我单位本年度无公务接待费支出</w:t>
      </w:r>
      <w:r>
        <w:rPr>
          <w:rFonts w:hint="eastAsia" w:ascii="仿宋_GB2312" w:hAnsi="仿宋_GB2312" w:eastAsia="仿宋_GB2312" w:cs="仿宋_GB2312"/>
          <w:color w:val="auto"/>
          <w:kern w:val="0"/>
          <w:sz w:val="32"/>
          <w:szCs w:val="32"/>
          <w:u w:val="none"/>
        </w:rPr>
        <w:t>。</w:t>
      </w:r>
    </w:p>
    <w:p w14:paraId="03AE8441">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Times New Roman" w:hAnsi="Times New Roman" w:eastAsia="Times New Roman" w:cs="Times New Roman"/>
          <w:b w:val="0"/>
          <w:bCs w:val="0"/>
          <w:color w:val="auto"/>
          <w:kern w:val="0"/>
          <w:sz w:val="32"/>
          <w:szCs w:val="32"/>
        </w:rPr>
      </w:pPr>
      <w:r>
        <w:rPr>
          <w:rFonts w:ascii="黑体" w:hAnsi="黑体" w:eastAsia="黑体" w:cs="黑体"/>
          <w:b w:val="0"/>
          <w:bCs w:val="0"/>
          <w:color w:val="auto"/>
          <w:kern w:val="0"/>
          <w:sz w:val="32"/>
          <w:szCs w:val="32"/>
        </w:rPr>
        <w:t>九、政府性基金预算财政拨款支出决算情况说明</w:t>
      </w:r>
    </w:p>
    <w:p w14:paraId="541EC9AA">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rPr>
        <w:t>年度政府性基金预算财政拨款支出决算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万元。与上年决算相比，增加</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val="en-US" w:eastAsia="zh-CN"/>
        </w:rPr>
        <w:t>本单位无政府性基金预算财政拨款收、支、余。</w:t>
      </w:r>
    </w:p>
    <w:p w14:paraId="44192073">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Times New Roman" w:hAnsi="Times New Roman" w:eastAsia="Times New Roman" w:cs="Times New Roman"/>
          <w:b w:val="0"/>
          <w:bCs w:val="0"/>
          <w:color w:val="auto"/>
          <w:kern w:val="0"/>
          <w:sz w:val="32"/>
          <w:szCs w:val="32"/>
        </w:rPr>
      </w:pPr>
      <w:r>
        <w:rPr>
          <w:rFonts w:ascii="黑体" w:hAnsi="黑体" w:eastAsia="黑体" w:cs="黑体"/>
          <w:b w:val="0"/>
          <w:bCs w:val="0"/>
          <w:color w:val="auto"/>
          <w:kern w:val="0"/>
          <w:sz w:val="32"/>
          <w:szCs w:val="32"/>
        </w:rPr>
        <w:t>十、国有资本经营预算财政拨款支出决算情况说明</w:t>
      </w:r>
    </w:p>
    <w:p w14:paraId="4491F926">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lang w:val="en-US" w:eastAsia="zh-CN"/>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rPr>
        <w:t>年度国有资本经营预算财政拨款支出决算</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万元。与上年决算相比，增加</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仿宋_GB2312" w:hAnsi="仿宋_GB2312" w:eastAsia="仿宋_GB2312" w:cs="仿宋_GB2312"/>
          <w:color w:val="auto"/>
          <w:kern w:val="0"/>
          <w:sz w:val="32"/>
          <w:szCs w:val="32"/>
          <w:u w:val="none"/>
          <w:lang w:val="en-US" w:eastAsia="zh-CN"/>
        </w:rPr>
        <w:t>本单位无国有资本经营预算财政拨款收、支、余。</w:t>
      </w:r>
    </w:p>
    <w:p w14:paraId="246138BD">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Times New Roman" w:hAnsi="Times New Roman" w:eastAsia="Times New Roman" w:cs="Times New Roman"/>
          <w:b w:val="0"/>
          <w:bCs w:val="0"/>
          <w:color w:val="auto"/>
          <w:kern w:val="0"/>
          <w:sz w:val="32"/>
          <w:szCs w:val="32"/>
        </w:rPr>
      </w:pPr>
      <w:r>
        <w:rPr>
          <w:rFonts w:ascii="黑体" w:hAnsi="黑体" w:eastAsia="黑体" w:cs="黑体"/>
          <w:b w:val="0"/>
          <w:bCs w:val="0"/>
          <w:color w:val="auto"/>
          <w:kern w:val="0"/>
          <w:sz w:val="32"/>
          <w:szCs w:val="32"/>
        </w:rPr>
        <w:t>十一、机关运行经费（公用经费）支出决算情况说明</w:t>
      </w:r>
    </w:p>
    <w:p w14:paraId="281B1D29">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rPr>
        <w:t>年度公用经费支出决算</w:t>
      </w:r>
      <w:r>
        <w:rPr>
          <w:rFonts w:hint="eastAsia" w:ascii="Times New Roman" w:hAnsi="Times New Roman" w:eastAsia="仿宋_GB2312" w:cs="仿宋_GB2312"/>
          <w:color w:val="auto"/>
          <w:kern w:val="0"/>
          <w:sz w:val="32"/>
          <w:szCs w:val="32"/>
          <w:u w:val="none"/>
          <w:lang w:val="en-US" w:eastAsia="zh-CN"/>
        </w:rPr>
        <w:t>237</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43</w:t>
      </w:r>
      <w:r>
        <w:rPr>
          <w:rFonts w:hint="eastAsia" w:ascii="仿宋_GB2312" w:hAnsi="仿宋_GB2312" w:eastAsia="仿宋_GB2312" w:cs="仿宋_GB2312"/>
          <w:color w:val="auto"/>
          <w:kern w:val="0"/>
          <w:sz w:val="32"/>
          <w:szCs w:val="32"/>
          <w:u w:val="none"/>
        </w:rPr>
        <w:t>万元，与上年决算相比，增加</w:t>
      </w:r>
      <w:r>
        <w:rPr>
          <w:rFonts w:hint="eastAsia" w:ascii="Times New Roman" w:hAnsi="Times New Roman" w:eastAsia="仿宋_GB2312" w:cs="仿宋_GB2312"/>
          <w:color w:val="auto"/>
          <w:kern w:val="0"/>
          <w:sz w:val="32"/>
          <w:szCs w:val="32"/>
          <w:u w:val="none"/>
          <w:lang w:val="en-US" w:eastAsia="zh-CN"/>
        </w:rPr>
        <w:t>13</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98</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val="en-US" w:eastAsia="zh-CN"/>
        </w:rPr>
        <w:t>6</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26</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lang w:val="en-US" w:eastAsia="zh-CN"/>
        </w:rPr>
        <w:t>年新增招录人员，公用经费支出增加</w:t>
      </w:r>
      <w:r>
        <w:rPr>
          <w:rFonts w:hint="eastAsia" w:ascii="仿宋_GB2312" w:hAnsi="仿宋_GB2312" w:eastAsia="仿宋_GB2312" w:cs="仿宋_GB2312"/>
          <w:color w:val="auto"/>
          <w:kern w:val="0"/>
          <w:sz w:val="32"/>
          <w:szCs w:val="32"/>
          <w:u w:val="none"/>
        </w:rPr>
        <w:t>。其中，机关运行经费支出决算</w:t>
      </w:r>
      <w:r>
        <w:rPr>
          <w:rFonts w:hint="eastAsia" w:ascii="Times New Roman" w:hAnsi="Times New Roman" w:eastAsia="仿宋_GB2312" w:cs="仿宋_GB2312"/>
          <w:color w:val="auto"/>
          <w:kern w:val="0"/>
          <w:sz w:val="32"/>
          <w:szCs w:val="32"/>
          <w:u w:val="none"/>
          <w:lang w:val="en-US" w:eastAsia="zh-CN"/>
        </w:rPr>
        <w:t>237</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43</w:t>
      </w:r>
      <w:r>
        <w:rPr>
          <w:rFonts w:hint="eastAsia" w:ascii="仿宋_GB2312" w:hAnsi="仿宋_GB2312" w:eastAsia="仿宋_GB2312" w:cs="仿宋_GB2312"/>
          <w:color w:val="auto"/>
          <w:kern w:val="0"/>
          <w:sz w:val="32"/>
          <w:szCs w:val="32"/>
          <w:u w:val="none"/>
        </w:rPr>
        <w:t>万元。比上年决算相比，增加</w:t>
      </w:r>
      <w:r>
        <w:rPr>
          <w:rFonts w:hint="eastAsia" w:ascii="Times New Roman" w:hAnsi="Times New Roman" w:eastAsia="仿宋_GB2312" w:cs="仿宋_GB2312"/>
          <w:color w:val="auto"/>
          <w:kern w:val="0"/>
          <w:sz w:val="32"/>
          <w:szCs w:val="32"/>
          <w:u w:val="none"/>
          <w:lang w:val="en-US" w:eastAsia="zh-CN"/>
        </w:rPr>
        <w:t>13</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98</w:t>
      </w:r>
      <w:r>
        <w:rPr>
          <w:rFonts w:hint="eastAsia" w:ascii="仿宋_GB2312" w:hAnsi="仿宋_GB2312" w:eastAsia="仿宋_GB2312" w:cs="仿宋_GB2312"/>
          <w:color w:val="auto"/>
          <w:kern w:val="0"/>
          <w:sz w:val="32"/>
          <w:szCs w:val="32"/>
          <w:u w:val="none"/>
        </w:rPr>
        <w:t>万元，增长</w:t>
      </w:r>
      <w:r>
        <w:rPr>
          <w:rFonts w:hint="eastAsia" w:ascii="Times New Roman" w:hAnsi="Times New Roman" w:eastAsia="仿宋_GB2312" w:cs="仿宋_GB2312"/>
          <w:color w:val="auto"/>
          <w:kern w:val="0"/>
          <w:sz w:val="32"/>
          <w:szCs w:val="32"/>
          <w:u w:val="none"/>
          <w:lang w:val="en-US" w:eastAsia="zh-CN"/>
        </w:rPr>
        <w:t>6</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26</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，变动原因：</w:t>
      </w:r>
      <w:r>
        <w:rPr>
          <w:rFonts w:hint="eastAsia" w:ascii="Times New Roman" w:hAnsi="Times New Roman" w:eastAsia="仿宋_GB2312" w:cs="仿宋_GB2312"/>
          <w:color w:val="auto"/>
          <w:kern w:val="0"/>
          <w:sz w:val="32"/>
          <w:szCs w:val="32"/>
          <w:u w:val="none"/>
          <w:lang w:val="en-US" w:eastAsia="zh-CN"/>
        </w:rPr>
        <w:t>2025</w:t>
      </w:r>
      <w:r>
        <w:rPr>
          <w:rFonts w:hint="eastAsia" w:ascii="仿宋_GB2312" w:hAnsi="仿宋_GB2312" w:eastAsia="仿宋_GB2312" w:cs="仿宋_GB2312"/>
          <w:color w:val="auto"/>
          <w:kern w:val="0"/>
          <w:sz w:val="32"/>
          <w:szCs w:val="32"/>
          <w:u w:val="none"/>
          <w:lang w:val="en-US" w:eastAsia="zh-CN"/>
        </w:rPr>
        <w:t>年新增招录人员，机关运行经费支出增加</w:t>
      </w:r>
      <w:r>
        <w:rPr>
          <w:rFonts w:hint="eastAsia" w:ascii="仿宋_GB2312" w:hAnsi="仿宋_GB2312" w:eastAsia="仿宋_GB2312" w:cs="仿宋_GB2312"/>
          <w:color w:val="auto"/>
          <w:kern w:val="0"/>
          <w:sz w:val="32"/>
          <w:szCs w:val="32"/>
          <w:u w:val="none"/>
        </w:rPr>
        <w:t>。</w:t>
      </w:r>
    </w:p>
    <w:p w14:paraId="0D80CBF3">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Times New Roman" w:hAnsi="Times New Roman" w:eastAsia="Times New Roman" w:cs="Times New Roman"/>
          <w:b w:val="0"/>
          <w:bCs w:val="0"/>
          <w:color w:val="auto"/>
          <w:kern w:val="0"/>
          <w:sz w:val="32"/>
          <w:szCs w:val="32"/>
        </w:rPr>
      </w:pPr>
      <w:r>
        <w:rPr>
          <w:rFonts w:ascii="黑体" w:hAnsi="黑体" w:eastAsia="黑体" w:cs="黑体"/>
          <w:b w:val="0"/>
          <w:bCs w:val="0"/>
          <w:color w:val="auto"/>
          <w:kern w:val="0"/>
          <w:sz w:val="32"/>
          <w:szCs w:val="32"/>
        </w:rPr>
        <w:t>十二、政府采购支出决算情况说明</w:t>
      </w:r>
    </w:p>
    <w:p w14:paraId="26B54599">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内蒙古大兴安岭森林公安局得耳布尔分局</w:t>
      </w:r>
      <w:r>
        <w:rPr>
          <w:rFonts w:hint="eastAsia" w:ascii="Times New Roman" w:hAnsi="Times New Roman" w:eastAsia="仿宋_GB2312" w:cs="仿宋_GB2312"/>
          <w:color w:val="auto"/>
          <w:kern w:val="0"/>
          <w:sz w:val="32"/>
          <w:szCs w:val="32"/>
          <w:u w:val="none"/>
          <w:lang w:eastAsia="zh-CN"/>
        </w:rPr>
        <w:t>2</w:t>
      </w:r>
      <w:r>
        <w:rPr>
          <w:rFonts w:hint="eastAsia" w:ascii="Times New Roman" w:hAnsi="Times New Roman" w:eastAsia="仿宋_GB2312" w:cs="仿宋_GB2312"/>
          <w:color w:val="auto"/>
          <w:kern w:val="0"/>
          <w:sz w:val="32"/>
          <w:szCs w:val="32"/>
          <w:u w:val="none"/>
          <w:lang w:val="en-US" w:eastAsia="zh-CN"/>
        </w:rPr>
        <w:t>025</w:t>
      </w:r>
      <w:r>
        <w:rPr>
          <w:rFonts w:hint="eastAsia" w:ascii="仿宋_GB2312" w:hAnsi="仿宋_GB2312" w:eastAsia="仿宋_GB2312" w:cs="仿宋_GB2312"/>
          <w:color w:val="auto"/>
          <w:kern w:val="0"/>
          <w:sz w:val="32"/>
          <w:szCs w:val="32"/>
          <w:u w:val="none"/>
        </w:rPr>
        <w:t>年度政府采购支出总额</w:t>
      </w:r>
      <w:r>
        <w:rPr>
          <w:rFonts w:hint="eastAsia" w:ascii="Times New Roman" w:hAnsi="Times New Roman" w:eastAsia="仿宋_GB2312" w:cs="仿宋_GB2312"/>
          <w:color w:val="auto"/>
          <w:kern w:val="0"/>
          <w:sz w:val="32"/>
          <w:szCs w:val="32"/>
          <w:u w:val="none"/>
          <w:lang w:val="en-US" w:eastAsia="zh-CN"/>
        </w:rPr>
        <w:t>25</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58</w:t>
      </w:r>
      <w:r>
        <w:rPr>
          <w:rFonts w:hint="eastAsia" w:ascii="仿宋_GB2312" w:hAnsi="仿宋_GB2312" w:eastAsia="仿宋_GB2312" w:cs="仿宋_GB2312"/>
          <w:color w:val="auto"/>
          <w:kern w:val="0"/>
          <w:sz w:val="32"/>
          <w:szCs w:val="32"/>
          <w:u w:val="none"/>
        </w:rPr>
        <w:t>万元，其中：政府采购货物支出</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rPr>
        <w:t>万元、政府采购工程支</w:t>
      </w:r>
      <w:r>
        <w:rPr>
          <w:rFonts w:hint="eastAsia" w:ascii="Times New Roman" w:hAnsi="Times New Roman" w:eastAsia="仿宋_GB2312" w:cs="仿宋_GB2312"/>
          <w:color w:val="auto"/>
          <w:kern w:val="0"/>
          <w:sz w:val="32"/>
          <w:szCs w:val="32"/>
          <w:u w:val="none"/>
          <w:lang w:val="en-US" w:eastAsia="zh-CN"/>
        </w:rPr>
        <w:t>出0.00</w:t>
      </w:r>
      <w:r>
        <w:rPr>
          <w:rFonts w:hint="eastAsia" w:ascii="仿宋_GB2312" w:hAnsi="仿宋_GB2312" w:eastAsia="仿宋_GB2312" w:cs="仿宋_GB2312"/>
          <w:color w:val="auto"/>
          <w:kern w:val="0"/>
          <w:sz w:val="32"/>
          <w:szCs w:val="32"/>
          <w:u w:val="none"/>
        </w:rPr>
        <w:t>万元、政府采购服务支出</w:t>
      </w:r>
      <w:r>
        <w:rPr>
          <w:rFonts w:hint="eastAsia" w:ascii="Times New Roman" w:hAnsi="Times New Roman" w:eastAsia="仿宋_GB2312" w:cs="仿宋_GB2312"/>
          <w:color w:val="auto"/>
          <w:kern w:val="0"/>
          <w:sz w:val="32"/>
          <w:szCs w:val="32"/>
          <w:u w:val="none"/>
          <w:lang w:val="en-US" w:eastAsia="zh-CN"/>
        </w:rPr>
        <w:t>25</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58</w:t>
      </w:r>
      <w:r>
        <w:rPr>
          <w:rFonts w:hint="eastAsia" w:ascii="仿宋_GB2312" w:hAnsi="仿宋_GB2312" w:eastAsia="仿宋_GB2312" w:cs="仿宋_GB2312"/>
          <w:color w:val="auto"/>
          <w:kern w:val="0"/>
          <w:sz w:val="32"/>
          <w:szCs w:val="32"/>
          <w:u w:val="none"/>
        </w:rPr>
        <w:t>万元。政府采购授予中小企业合同金额</w:t>
      </w:r>
      <w:r>
        <w:rPr>
          <w:rFonts w:hint="eastAsia" w:ascii="Times New Roman" w:hAnsi="Times New Roman" w:eastAsia="仿宋_GB2312" w:cs="仿宋_GB2312"/>
          <w:color w:val="auto"/>
          <w:kern w:val="0"/>
          <w:sz w:val="32"/>
          <w:szCs w:val="32"/>
          <w:u w:val="none"/>
          <w:lang w:val="en-US" w:eastAsia="zh-CN"/>
        </w:rPr>
        <w:t>19</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73</w:t>
      </w:r>
      <w:r>
        <w:rPr>
          <w:rFonts w:hint="eastAsia" w:ascii="仿宋_GB2312" w:hAnsi="仿宋_GB2312" w:eastAsia="仿宋_GB2312" w:cs="仿宋_GB2312"/>
          <w:color w:val="auto"/>
          <w:kern w:val="0"/>
          <w:sz w:val="32"/>
          <w:szCs w:val="32"/>
          <w:u w:val="none"/>
        </w:rPr>
        <w:t>万元，占政府采购支出总额的</w:t>
      </w:r>
      <w:r>
        <w:rPr>
          <w:rFonts w:hint="eastAsia" w:ascii="Times New Roman" w:hAnsi="Times New Roman" w:eastAsia="仿宋_GB2312" w:cs="仿宋_GB2312"/>
          <w:color w:val="auto"/>
          <w:kern w:val="0"/>
          <w:sz w:val="32"/>
          <w:szCs w:val="32"/>
          <w:u w:val="none"/>
          <w:lang w:val="en-US" w:eastAsia="zh-CN"/>
        </w:rPr>
        <w:t>77.13</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，其中：授予小微企业合同金额</w:t>
      </w:r>
      <w:r>
        <w:rPr>
          <w:rFonts w:hint="eastAsia" w:ascii="Times New Roman" w:hAnsi="Times New Roman" w:eastAsia="仿宋_GB2312" w:cs="仿宋_GB2312"/>
          <w:color w:val="auto"/>
          <w:kern w:val="0"/>
          <w:sz w:val="32"/>
          <w:szCs w:val="32"/>
          <w:u w:val="none"/>
          <w:lang w:val="en-US" w:eastAsia="zh-CN"/>
        </w:rPr>
        <w:t>19</w:t>
      </w:r>
      <w:r>
        <w:rPr>
          <w:rFonts w:hint="eastAsia" w:ascii="Times New Roman" w:hAnsi="Times New Roman" w:eastAsia="仿宋_GB2312" w:cs="仿宋_GB2312"/>
          <w:color w:val="auto"/>
          <w:kern w:val="0"/>
          <w:sz w:val="32"/>
          <w:szCs w:val="32"/>
          <w:u w:val="none"/>
          <w:lang w:val="en-US" w:eastAsia="en-US"/>
        </w:rPr>
        <w:t>.</w:t>
      </w:r>
      <w:r>
        <w:rPr>
          <w:rFonts w:hint="eastAsia" w:ascii="Times New Roman" w:hAnsi="Times New Roman" w:eastAsia="仿宋_GB2312" w:cs="仿宋_GB2312"/>
          <w:color w:val="auto"/>
          <w:kern w:val="0"/>
          <w:sz w:val="32"/>
          <w:szCs w:val="32"/>
          <w:u w:val="none"/>
          <w:lang w:val="en-US" w:eastAsia="zh-CN"/>
        </w:rPr>
        <w:t>73</w:t>
      </w:r>
      <w:r>
        <w:rPr>
          <w:rFonts w:hint="eastAsia" w:ascii="仿宋_GB2312" w:hAnsi="仿宋_GB2312" w:eastAsia="仿宋_GB2312" w:cs="仿宋_GB2312"/>
          <w:color w:val="auto"/>
          <w:kern w:val="0"/>
          <w:sz w:val="32"/>
          <w:szCs w:val="32"/>
          <w:u w:val="none"/>
        </w:rPr>
        <w:t>万元，占政府采购支出总额的</w:t>
      </w:r>
      <w:r>
        <w:rPr>
          <w:rFonts w:hint="eastAsia" w:ascii="Times New Roman" w:hAnsi="Times New Roman" w:eastAsia="仿宋_GB2312" w:cs="仿宋_GB2312"/>
          <w:color w:val="auto"/>
          <w:kern w:val="0"/>
          <w:sz w:val="32"/>
          <w:szCs w:val="32"/>
          <w:u w:val="none"/>
          <w:lang w:val="en-US" w:eastAsia="zh-CN"/>
        </w:rPr>
        <w:t>77.13</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；货物采购授予中小企业合同金额占货物支出金额的</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，工程采购授予中小企业合同金额占工程支出金额的</w:t>
      </w:r>
      <w:r>
        <w:rPr>
          <w:rFonts w:hint="eastAsia" w:ascii="Times New Roman" w:hAnsi="Times New Roman" w:eastAsia="仿宋_GB2312" w:cs="仿宋_GB2312"/>
          <w:color w:val="auto"/>
          <w:kern w:val="0"/>
          <w:sz w:val="32"/>
          <w:szCs w:val="32"/>
          <w:u w:val="none"/>
          <w:lang w:val="en-US" w:eastAsia="zh-CN"/>
        </w:rPr>
        <w:t>0.00</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，服务采购授予中小企业合同金额占服务支出金额的</w:t>
      </w:r>
      <w:r>
        <w:rPr>
          <w:rFonts w:hint="eastAsia" w:ascii="Times New Roman" w:hAnsi="Times New Roman" w:eastAsia="仿宋_GB2312" w:cs="仿宋_GB2312"/>
          <w:color w:val="auto"/>
          <w:kern w:val="0"/>
          <w:sz w:val="32"/>
          <w:szCs w:val="32"/>
          <w:u w:val="none"/>
          <w:lang w:val="en-US" w:eastAsia="zh-CN"/>
        </w:rPr>
        <w:t>77.13</w:t>
      </w:r>
      <w:r>
        <w:rPr>
          <w:rFonts w:hint="eastAsia" w:ascii="仿宋_GB2312" w:hAnsi="仿宋_GB2312" w:eastAsia="仿宋_GB2312" w:cs="仿宋_GB2312"/>
          <w:color w:val="auto"/>
          <w:kern w:val="0"/>
          <w:sz w:val="32"/>
          <w:szCs w:val="32"/>
          <w:u w:val="none"/>
          <w:lang w:eastAsia="en-US"/>
        </w:rPr>
        <w:t>%</w:t>
      </w:r>
      <w:r>
        <w:rPr>
          <w:rFonts w:hint="eastAsia" w:ascii="仿宋_GB2312" w:hAnsi="仿宋_GB2312" w:eastAsia="仿宋_GB2312" w:cs="仿宋_GB2312"/>
          <w:color w:val="auto"/>
          <w:kern w:val="0"/>
          <w:sz w:val="32"/>
          <w:szCs w:val="32"/>
          <w:u w:val="none"/>
        </w:rPr>
        <w:t>。</w:t>
      </w:r>
    </w:p>
    <w:p w14:paraId="392B9CA8">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Times New Roman" w:hAnsi="Times New Roman" w:eastAsia="Times New Roman" w:cs="Times New Roman"/>
          <w:b w:val="0"/>
          <w:bCs w:val="0"/>
          <w:color w:val="auto"/>
          <w:kern w:val="0"/>
          <w:sz w:val="32"/>
          <w:szCs w:val="32"/>
          <w:u w:val="none"/>
        </w:rPr>
      </w:pPr>
      <w:r>
        <w:rPr>
          <w:rFonts w:ascii="黑体" w:hAnsi="黑体" w:eastAsia="黑体" w:cs="黑体"/>
          <w:b w:val="0"/>
          <w:bCs w:val="0"/>
          <w:color w:val="auto"/>
          <w:kern w:val="0"/>
          <w:sz w:val="32"/>
          <w:szCs w:val="32"/>
          <w:u w:val="none"/>
        </w:rPr>
        <w:t>十三、国有资产占用情况说明</w:t>
      </w:r>
    </w:p>
    <w:p w14:paraId="31CE6617">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u w:val="none"/>
        </w:rPr>
      </w:pPr>
      <w:r>
        <w:rPr>
          <w:rFonts w:hint="eastAsia" w:ascii="仿宋_GB2312" w:hAnsi="仿宋_GB2312" w:eastAsia="仿宋_GB2312" w:cs="仿宋_GB2312"/>
          <w:color w:val="auto"/>
          <w:kern w:val="0"/>
          <w:sz w:val="32"/>
          <w:szCs w:val="32"/>
          <w:u w:val="none"/>
        </w:rPr>
        <w:t>内蒙古大兴安岭森林公安局得耳布尔分局截至</w:t>
      </w:r>
      <w:r>
        <w:rPr>
          <w:rFonts w:hint="eastAsia" w:ascii="Times New Roman" w:hAnsi="Times New Roman" w:eastAsia="仿宋_GB2312" w:cs="仿宋_GB2312"/>
          <w:color w:val="auto"/>
          <w:kern w:val="0"/>
          <w:sz w:val="32"/>
          <w:szCs w:val="32"/>
          <w:u w:val="none"/>
          <w:lang w:eastAsia="zh-CN"/>
        </w:rPr>
        <w:t>2</w:t>
      </w:r>
      <w:r>
        <w:rPr>
          <w:rFonts w:hint="eastAsia" w:ascii="Times New Roman" w:hAnsi="Times New Roman" w:eastAsia="仿宋_GB2312" w:cs="仿宋_GB2312"/>
          <w:color w:val="auto"/>
          <w:kern w:val="0"/>
          <w:sz w:val="32"/>
          <w:szCs w:val="32"/>
          <w:u w:val="none"/>
          <w:lang w:val="en-US" w:eastAsia="zh-CN"/>
        </w:rPr>
        <w:t>025</w:t>
      </w:r>
      <w:r>
        <w:rPr>
          <w:rFonts w:hint="eastAsia" w:ascii="仿宋_GB2312" w:hAnsi="仿宋_GB2312" w:eastAsia="仿宋_GB2312" w:cs="仿宋_GB2312"/>
          <w:color w:val="auto"/>
          <w:kern w:val="0"/>
          <w:sz w:val="32"/>
          <w:szCs w:val="32"/>
          <w:u w:val="none"/>
        </w:rPr>
        <w:t>年</w:t>
      </w:r>
      <w:r>
        <w:rPr>
          <w:rFonts w:hint="eastAsia" w:ascii="Times New Roman" w:hAnsi="Times New Roman" w:eastAsia="仿宋_GB2312" w:cs="仿宋_GB2312"/>
          <w:color w:val="auto"/>
          <w:kern w:val="0"/>
          <w:sz w:val="32"/>
          <w:szCs w:val="32"/>
          <w:u w:val="none"/>
          <w:lang w:eastAsia="zh-CN"/>
        </w:rPr>
        <w:t>12</w:t>
      </w:r>
      <w:r>
        <w:rPr>
          <w:rFonts w:hint="eastAsia" w:ascii="仿宋_GB2312" w:hAnsi="仿宋_GB2312" w:eastAsia="仿宋_GB2312" w:cs="仿宋_GB2312"/>
          <w:color w:val="auto"/>
          <w:kern w:val="0"/>
          <w:sz w:val="32"/>
          <w:szCs w:val="32"/>
          <w:u w:val="none"/>
        </w:rPr>
        <w:t>月</w:t>
      </w:r>
      <w:r>
        <w:rPr>
          <w:rFonts w:hint="eastAsia" w:ascii="Times New Roman" w:hAnsi="Times New Roman" w:eastAsia="仿宋_GB2312" w:cs="仿宋_GB2312"/>
          <w:color w:val="auto"/>
          <w:kern w:val="0"/>
          <w:sz w:val="32"/>
          <w:szCs w:val="32"/>
          <w:u w:val="none"/>
          <w:lang w:eastAsia="zh-CN"/>
        </w:rPr>
        <w:t>31</w:t>
      </w:r>
      <w:r>
        <w:rPr>
          <w:rFonts w:hint="eastAsia" w:ascii="仿宋_GB2312" w:hAnsi="仿宋_GB2312" w:eastAsia="仿宋_GB2312" w:cs="仿宋_GB2312"/>
          <w:color w:val="auto"/>
          <w:kern w:val="0"/>
          <w:sz w:val="32"/>
          <w:szCs w:val="32"/>
          <w:u w:val="none"/>
        </w:rPr>
        <w:t>日，本单位共有车辆</w:t>
      </w:r>
      <w:r>
        <w:rPr>
          <w:rFonts w:hint="eastAsia" w:ascii="Times New Roman" w:hAnsi="Times New Roman" w:eastAsia="仿宋_GB2312" w:cs="仿宋_GB2312"/>
          <w:color w:val="auto"/>
          <w:kern w:val="0"/>
          <w:sz w:val="32"/>
          <w:szCs w:val="32"/>
          <w:u w:val="none"/>
          <w:lang w:eastAsia="zh-CN"/>
        </w:rPr>
        <w:t>14</w:t>
      </w:r>
      <w:r>
        <w:rPr>
          <w:rFonts w:hint="eastAsia" w:ascii="仿宋_GB2312" w:hAnsi="仿宋_GB2312" w:eastAsia="仿宋_GB2312" w:cs="仿宋_GB2312"/>
          <w:color w:val="auto"/>
          <w:kern w:val="0"/>
          <w:sz w:val="32"/>
          <w:szCs w:val="32"/>
          <w:u w:val="none"/>
        </w:rPr>
        <w:t>辆，其中：副部（省）级及以上领导用车</w:t>
      </w:r>
      <w:r>
        <w:rPr>
          <w:rFonts w:hint="eastAsia" w:ascii="Times New Roman" w:hAnsi="Times New Roman" w:eastAsia="仿宋_GB2312" w:cs="仿宋_GB2312"/>
          <w:color w:val="auto"/>
          <w:kern w:val="0"/>
          <w:sz w:val="32"/>
          <w:szCs w:val="32"/>
          <w:u w:val="none"/>
          <w:lang w:eastAsia="zh-CN"/>
        </w:rPr>
        <w:t>0</w:t>
      </w:r>
      <w:r>
        <w:rPr>
          <w:rFonts w:hint="eastAsia" w:ascii="仿宋_GB2312" w:hAnsi="仿宋_GB2312" w:eastAsia="仿宋_GB2312" w:cs="仿宋_GB2312"/>
          <w:color w:val="auto"/>
          <w:kern w:val="0"/>
          <w:sz w:val="32"/>
          <w:szCs w:val="32"/>
          <w:u w:val="none"/>
        </w:rPr>
        <w:t>辆、主要负责人用车</w:t>
      </w:r>
      <w:r>
        <w:rPr>
          <w:rFonts w:hint="eastAsia" w:ascii="Times New Roman" w:hAnsi="Times New Roman" w:eastAsia="仿宋_GB2312" w:cs="仿宋_GB2312"/>
          <w:color w:val="auto"/>
          <w:kern w:val="0"/>
          <w:sz w:val="32"/>
          <w:szCs w:val="32"/>
          <w:u w:val="none"/>
          <w:lang w:eastAsia="zh-CN"/>
        </w:rPr>
        <w:t>0</w:t>
      </w:r>
      <w:r>
        <w:rPr>
          <w:rFonts w:hint="eastAsia" w:ascii="仿宋_GB2312" w:hAnsi="仿宋_GB2312" w:eastAsia="仿宋_GB2312" w:cs="仿宋_GB2312"/>
          <w:color w:val="auto"/>
          <w:kern w:val="0"/>
          <w:sz w:val="32"/>
          <w:szCs w:val="32"/>
          <w:u w:val="none"/>
        </w:rPr>
        <w:t>辆、机要通信用车</w:t>
      </w:r>
      <w:r>
        <w:rPr>
          <w:rFonts w:hint="eastAsia" w:ascii="Times New Roman" w:hAnsi="Times New Roman" w:eastAsia="仿宋_GB2312" w:cs="仿宋_GB2312"/>
          <w:color w:val="auto"/>
          <w:kern w:val="0"/>
          <w:sz w:val="32"/>
          <w:szCs w:val="32"/>
          <w:u w:val="none"/>
          <w:lang w:eastAsia="zh-CN"/>
        </w:rPr>
        <w:t>0</w:t>
      </w:r>
      <w:r>
        <w:rPr>
          <w:rFonts w:hint="eastAsia" w:ascii="仿宋_GB2312" w:hAnsi="仿宋_GB2312" w:eastAsia="仿宋_GB2312" w:cs="仿宋_GB2312"/>
          <w:color w:val="auto"/>
          <w:kern w:val="0"/>
          <w:sz w:val="32"/>
          <w:szCs w:val="32"/>
          <w:u w:val="none"/>
        </w:rPr>
        <w:t>辆、应急保障用车</w:t>
      </w:r>
      <w:r>
        <w:rPr>
          <w:rFonts w:hint="eastAsia" w:ascii="Times New Roman" w:hAnsi="Times New Roman" w:eastAsia="仿宋_GB2312" w:cs="仿宋_GB2312"/>
          <w:color w:val="auto"/>
          <w:kern w:val="0"/>
          <w:sz w:val="32"/>
          <w:szCs w:val="32"/>
          <w:u w:val="none"/>
          <w:lang w:eastAsia="zh-CN"/>
        </w:rPr>
        <w:t>0</w:t>
      </w:r>
      <w:r>
        <w:rPr>
          <w:rFonts w:hint="eastAsia" w:ascii="仿宋_GB2312" w:hAnsi="仿宋_GB2312" w:eastAsia="仿宋_GB2312" w:cs="仿宋_GB2312"/>
          <w:color w:val="auto"/>
          <w:kern w:val="0"/>
          <w:sz w:val="32"/>
          <w:szCs w:val="32"/>
          <w:u w:val="none"/>
        </w:rPr>
        <w:t>辆、执法执勤用车</w:t>
      </w:r>
      <w:r>
        <w:rPr>
          <w:rFonts w:hint="eastAsia" w:ascii="Times New Roman" w:hAnsi="Times New Roman" w:eastAsia="仿宋_GB2312" w:cs="仿宋_GB2312"/>
          <w:color w:val="auto"/>
          <w:kern w:val="0"/>
          <w:sz w:val="32"/>
          <w:szCs w:val="32"/>
          <w:u w:val="none"/>
          <w:lang w:eastAsia="zh-CN"/>
        </w:rPr>
        <w:t>11</w:t>
      </w:r>
      <w:r>
        <w:rPr>
          <w:rFonts w:hint="eastAsia" w:ascii="仿宋_GB2312" w:hAnsi="仿宋_GB2312" w:eastAsia="仿宋_GB2312" w:cs="仿宋_GB2312"/>
          <w:color w:val="auto"/>
          <w:kern w:val="0"/>
          <w:sz w:val="32"/>
          <w:szCs w:val="32"/>
          <w:u w:val="none"/>
        </w:rPr>
        <w:t>辆、特种专业技术用车</w:t>
      </w:r>
      <w:r>
        <w:rPr>
          <w:rFonts w:hint="eastAsia" w:ascii="Times New Roman" w:hAnsi="Times New Roman" w:eastAsia="仿宋_GB2312" w:cs="仿宋_GB2312"/>
          <w:color w:val="auto"/>
          <w:kern w:val="0"/>
          <w:sz w:val="32"/>
          <w:szCs w:val="32"/>
          <w:u w:val="none"/>
          <w:lang w:eastAsia="zh-CN"/>
        </w:rPr>
        <w:t>3</w:t>
      </w:r>
      <w:r>
        <w:rPr>
          <w:rFonts w:hint="eastAsia" w:ascii="仿宋_GB2312" w:hAnsi="仿宋_GB2312" w:eastAsia="仿宋_GB2312" w:cs="仿宋_GB2312"/>
          <w:color w:val="auto"/>
          <w:kern w:val="0"/>
          <w:sz w:val="32"/>
          <w:szCs w:val="32"/>
          <w:u w:val="none"/>
        </w:rPr>
        <w:t>辆、离退休干部服务用车</w:t>
      </w:r>
      <w:r>
        <w:rPr>
          <w:rFonts w:hint="eastAsia" w:ascii="Times New Roman" w:hAnsi="Times New Roman" w:eastAsia="仿宋_GB2312" w:cs="仿宋_GB2312"/>
          <w:color w:val="auto"/>
          <w:kern w:val="0"/>
          <w:sz w:val="32"/>
          <w:szCs w:val="32"/>
          <w:u w:val="none"/>
          <w:lang w:eastAsia="zh-CN"/>
        </w:rPr>
        <w:t>0</w:t>
      </w:r>
      <w:r>
        <w:rPr>
          <w:rFonts w:hint="eastAsia" w:ascii="仿宋_GB2312" w:hAnsi="仿宋_GB2312" w:eastAsia="仿宋_GB2312" w:cs="仿宋_GB2312"/>
          <w:color w:val="auto"/>
          <w:kern w:val="0"/>
          <w:sz w:val="32"/>
          <w:szCs w:val="32"/>
          <w:u w:val="none"/>
        </w:rPr>
        <w:t>辆、其他用车</w:t>
      </w:r>
      <w:r>
        <w:rPr>
          <w:rFonts w:hint="eastAsia" w:ascii="Times New Roman" w:hAnsi="Times New Roman" w:eastAsia="仿宋_GB2312" w:cs="仿宋_GB2312"/>
          <w:color w:val="auto"/>
          <w:kern w:val="0"/>
          <w:sz w:val="32"/>
          <w:szCs w:val="32"/>
          <w:u w:val="none"/>
          <w:lang w:eastAsia="zh-CN"/>
        </w:rPr>
        <w:t>0</w:t>
      </w:r>
      <w:r>
        <w:rPr>
          <w:rFonts w:hint="eastAsia" w:ascii="仿宋_GB2312" w:hAnsi="仿宋_GB2312" w:eastAsia="仿宋_GB2312" w:cs="仿宋_GB2312"/>
          <w:color w:val="auto"/>
          <w:kern w:val="0"/>
          <w:sz w:val="32"/>
          <w:szCs w:val="32"/>
          <w:u w:val="none"/>
        </w:rPr>
        <w:t>辆；单价</w:t>
      </w:r>
      <w:r>
        <w:rPr>
          <w:rFonts w:hint="eastAsia" w:ascii="Times New Roman" w:hAnsi="Times New Roman" w:eastAsia="仿宋_GB2312" w:cs="仿宋_GB2312"/>
          <w:color w:val="auto"/>
          <w:kern w:val="0"/>
          <w:sz w:val="32"/>
          <w:szCs w:val="32"/>
          <w:u w:val="none"/>
          <w:lang w:eastAsia="zh-CN"/>
        </w:rPr>
        <w:t>100</w:t>
      </w:r>
      <w:r>
        <w:rPr>
          <w:rFonts w:hint="eastAsia" w:ascii="仿宋_GB2312" w:hAnsi="仿宋_GB2312" w:eastAsia="仿宋_GB2312" w:cs="仿宋_GB2312"/>
          <w:color w:val="auto"/>
          <w:kern w:val="0"/>
          <w:sz w:val="32"/>
          <w:szCs w:val="32"/>
          <w:u w:val="none"/>
        </w:rPr>
        <w:t>万元（含）以上设备（不含车辆）</w:t>
      </w:r>
      <w:r>
        <w:rPr>
          <w:rFonts w:hint="eastAsia" w:ascii="Times New Roman" w:hAnsi="Times New Roman" w:eastAsia="仿宋_GB2312" w:cs="仿宋_GB2312"/>
          <w:color w:val="auto"/>
          <w:kern w:val="0"/>
          <w:sz w:val="32"/>
          <w:szCs w:val="32"/>
          <w:u w:val="none"/>
          <w:lang w:eastAsia="zh-CN"/>
        </w:rPr>
        <w:t>0</w:t>
      </w:r>
      <w:r>
        <w:rPr>
          <w:rFonts w:hint="eastAsia" w:ascii="仿宋_GB2312" w:hAnsi="仿宋_GB2312" w:eastAsia="仿宋_GB2312" w:cs="仿宋_GB2312"/>
          <w:color w:val="auto"/>
          <w:kern w:val="0"/>
          <w:sz w:val="32"/>
          <w:szCs w:val="32"/>
          <w:u w:val="none"/>
        </w:rPr>
        <w:t>台（套）。</w:t>
      </w:r>
    </w:p>
    <w:p w14:paraId="746A381F">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Times New Roman" w:hAnsi="Times New Roman" w:eastAsia="Times New Roman" w:cs="Times New Roman"/>
          <w:b w:val="0"/>
          <w:bCs w:val="0"/>
          <w:color w:val="auto"/>
          <w:kern w:val="0"/>
          <w:sz w:val="32"/>
          <w:szCs w:val="32"/>
        </w:rPr>
      </w:pPr>
      <w:r>
        <w:rPr>
          <w:rFonts w:ascii="黑体" w:hAnsi="黑体" w:eastAsia="黑体" w:cs="黑体"/>
          <w:b w:val="0"/>
          <w:bCs w:val="0"/>
          <w:color w:val="auto"/>
          <w:kern w:val="0"/>
          <w:sz w:val="32"/>
          <w:szCs w:val="32"/>
        </w:rPr>
        <w:t>十四、预算绩效情况说明</w:t>
      </w:r>
    </w:p>
    <w:p w14:paraId="09D41B17">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b/>
          <w:bCs/>
          <w:color w:val="auto"/>
          <w:kern w:val="0"/>
          <w:sz w:val="32"/>
          <w:szCs w:val="32"/>
        </w:rPr>
        <w:t>（一）预算绩效管理工作开展情况。</w:t>
      </w:r>
    </w:p>
    <w:p w14:paraId="14F649C8">
      <w:pPr>
        <w:pStyle w:val="1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内蒙古大兴安岭森林公安局</w:t>
      </w:r>
      <w:r>
        <w:rPr>
          <w:rFonts w:hint="eastAsia" w:ascii="仿宋_GB2312" w:hAnsi="仿宋_GB2312" w:eastAsia="仿宋_GB2312" w:cs="仿宋_GB2312"/>
          <w:i w:val="0"/>
          <w:iCs w:val="0"/>
          <w:caps w:val="0"/>
          <w:color w:val="auto"/>
          <w:spacing w:val="0"/>
          <w:sz w:val="32"/>
          <w:szCs w:val="32"/>
          <w:shd w:val="clear" w:color="auto" w:fill="FFFFFF"/>
          <w:lang w:val="en-US" w:eastAsia="zh-CN"/>
        </w:rPr>
        <w:t>得耳布尔分局</w:t>
      </w:r>
      <w:r>
        <w:rPr>
          <w:rFonts w:hint="eastAsia" w:ascii="仿宋_GB2312" w:hAnsi="仿宋_GB2312" w:eastAsia="仿宋_GB2312" w:cs="仿宋_GB2312"/>
          <w:i w:val="0"/>
          <w:iCs w:val="0"/>
          <w:caps w:val="0"/>
          <w:color w:val="auto"/>
          <w:spacing w:val="0"/>
          <w:sz w:val="32"/>
          <w:szCs w:val="32"/>
          <w:shd w:val="clear" w:color="auto" w:fill="FFFFFF"/>
        </w:rPr>
        <w:t>根据预算绩效管理要求组织对</w:t>
      </w:r>
      <w:r>
        <w:rPr>
          <w:rFonts w:hint="eastAsia" w:ascii="Times New Roman" w:hAnsi="Times New Roman" w:eastAsia="仿宋_GB2312" w:cs="仿宋_GB2312"/>
          <w:i w:val="0"/>
          <w:iCs w:val="0"/>
          <w:caps w:val="0"/>
          <w:color w:val="auto"/>
          <w:spacing w:val="0"/>
          <w:sz w:val="32"/>
          <w:szCs w:val="32"/>
          <w:shd w:val="clear" w:color="auto" w:fill="FFFFFF"/>
          <w:lang w:eastAsia="zh-CN"/>
        </w:rPr>
        <w:t>202</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5</w:t>
      </w:r>
      <w:r>
        <w:rPr>
          <w:rFonts w:hint="eastAsia" w:ascii="仿宋_GB2312" w:hAnsi="仿宋_GB2312" w:eastAsia="仿宋_GB2312" w:cs="仿宋_GB2312"/>
          <w:i w:val="0"/>
          <w:iCs w:val="0"/>
          <w:caps w:val="0"/>
          <w:color w:val="auto"/>
          <w:spacing w:val="0"/>
          <w:sz w:val="32"/>
          <w:szCs w:val="32"/>
          <w:shd w:val="clear" w:color="auto" w:fill="FFFFFF"/>
        </w:rPr>
        <w:t>年一般公共预算非涉密项目支出全面开展绩效自评，</w:t>
      </w:r>
      <w:r>
        <w:rPr>
          <w:rFonts w:hint="eastAsia" w:ascii="仿宋_GB2312" w:hAnsi="仿宋_GB2312" w:eastAsia="仿宋_GB2312" w:cs="仿宋_GB2312"/>
          <w:i w:val="0"/>
          <w:iCs w:val="0"/>
          <w:caps w:val="0"/>
          <w:color w:val="auto"/>
          <w:spacing w:val="0"/>
          <w:sz w:val="32"/>
          <w:szCs w:val="32"/>
          <w:shd w:val="clear" w:color="auto" w:fill="FFFFFF"/>
          <w:lang w:val="en-US" w:eastAsia="zh-CN"/>
        </w:rPr>
        <w:t>共涉及项目</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2</w:t>
      </w:r>
      <w:r>
        <w:rPr>
          <w:rFonts w:hint="eastAsia" w:ascii="仿宋_GB2312" w:hAnsi="仿宋_GB2312" w:eastAsia="仿宋_GB2312" w:cs="仿宋_GB2312"/>
          <w:i w:val="0"/>
          <w:iCs w:val="0"/>
          <w:caps w:val="0"/>
          <w:color w:val="auto"/>
          <w:spacing w:val="0"/>
          <w:sz w:val="32"/>
          <w:szCs w:val="32"/>
          <w:shd w:val="clear" w:color="auto" w:fill="FFFFFF"/>
          <w:lang w:val="en-US" w:eastAsia="zh-CN"/>
        </w:rPr>
        <w:t>个，</w:t>
      </w:r>
      <w:r>
        <w:rPr>
          <w:rFonts w:hint="eastAsia" w:ascii="仿宋_GB2312" w:hAnsi="仿宋_GB2312" w:eastAsia="仿宋_GB2312" w:cs="仿宋_GB2312"/>
          <w:i w:val="0"/>
          <w:iCs w:val="0"/>
          <w:caps w:val="0"/>
          <w:color w:val="auto"/>
          <w:spacing w:val="0"/>
          <w:sz w:val="32"/>
          <w:szCs w:val="32"/>
          <w:shd w:val="clear" w:color="auto" w:fill="FFFFFF"/>
        </w:rPr>
        <w:t>资金</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30</w:t>
      </w:r>
      <w:r>
        <w:rPr>
          <w:rFonts w:hint="eastAsia" w:ascii="仿宋_GB2312" w:hAnsi="仿宋_GB2312" w:eastAsia="仿宋_GB2312" w:cs="仿宋_GB2312"/>
          <w:i w:val="0"/>
          <w:iCs w:val="0"/>
          <w:caps w:val="0"/>
          <w:color w:val="auto"/>
          <w:spacing w:val="0"/>
          <w:sz w:val="32"/>
          <w:szCs w:val="32"/>
          <w:shd w:val="clear" w:color="auto" w:fill="FFFFFF"/>
          <w:lang w:val="en-US" w:eastAsia="zh-CN"/>
        </w:rPr>
        <w:t>.</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00</w:t>
      </w:r>
      <w:r>
        <w:rPr>
          <w:rFonts w:hint="eastAsia" w:ascii="仿宋_GB2312" w:hAnsi="仿宋_GB2312" w:eastAsia="仿宋_GB2312" w:cs="仿宋_GB2312"/>
          <w:i w:val="0"/>
          <w:iCs w:val="0"/>
          <w:caps w:val="0"/>
          <w:color w:val="auto"/>
          <w:spacing w:val="0"/>
          <w:sz w:val="32"/>
          <w:szCs w:val="32"/>
          <w:shd w:val="clear" w:color="auto" w:fill="FFFFFF"/>
        </w:rPr>
        <w:t>万元，占一般公共预算非涉密项目支出总额的</w:t>
      </w:r>
      <w:r>
        <w:rPr>
          <w:rFonts w:hint="eastAsia" w:ascii="Times New Roman" w:hAnsi="Times New Roman" w:eastAsia="仿宋_GB2312" w:cs="仿宋_GB2312"/>
          <w:i w:val="0"/>
          <w:iCs w:val="0"/>
          <w:caps w:val="0"/>
          <w:color w:val="auto"/>
          <w:spacing w:val="0"/>
          <w:sz w:val="32"/>
          <w:szCs w:val="32"/>
          <w:shd w:val="clear" w:color="auto" w:fill="FFFFFF"/>
          <w:lang w:eastAsia="zh-CN"/>
        </w:rPr>
        <w:t>100</w:t>
      </w:r>
      <w:r>
        <w:rPr>
          <w:rFonts w:hint="eastAsia" w:ascii="仿宋_GB2312" w:hAnsi="仿宋_GB2312" w:eastAsia="仿宋_GB2312" w:cs="仿宋_GB2312"/>
          <w:i w:val="0"/>
          <w:iCs w:val="0"/>
          <w:caps w:val="0"/>
          <w:color w:val="auto"/>
          <w:spacing w:val="0"/>
          <w:sz w:val="32"/>
          <w:szCs w:val="32"/>
          <w:shd w:val="clear" w:color="auto" w:fill="FFFFFF"/>
          <w:lang w:val="en-US" w:eastAsia="zh-CN"/>
        </w:rPr>
        <w:t>.</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00</w:t>
      </w:r>
      <w:r>
        <w:rPr>
          <w:rFonts w:hint="eastAsia" w:ascii="仿宋_GB2312" w:hAnsi="仿宋_GB2312" w:eastAsia="仿宋_GB2312" w:cs="仿宋_GB2312"/>
          <w:i w:val="0"/>
          <w:iCs w:val="0"/>
          <w:caps w:val="0"/>
          <w:color w:val="auto"/>
          <w:spacing w:val="0"/>
          <w:sz w:val="32"/>
          <w:szCs w:val="32"/>
          <w:shd w:val="clear" w:color="auto" w:fill="FFFFFF"/>
        </w:rPr>
        <w:t>%；</w:t>
      </w:r>
    </w:p>
    <w:p w14:paraId="03A190A2">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微软雅黑" w:hAnsi="微软雅黑" w:eastAsia="微软雅黑" w:cs="微软雅黑"/>
          <w:i w:val="0"/>
          <w:iCs w:val="0"/>
          <w:caps w:val="0"/>
          <w:color w:val="auto"/>
          <w:spacing w:val="0"/>
          <w:sz w:val="32"/>
          <w:szCs w:val="32"/>
        </w:rPr>
      </w:pPr>
      <w:r>
        <w:rPr>
          <w:rFonts w:hint="eastAsia" w:ascii="仿宋_GB2312" w:hAnsi="微软雅黑" w:eastAsia="仿宋_GB2312" w:cs="仿宋_GB2312"/>
          <w:i w:val="0"/>
          <w:iCs w:val="0"/>
          <w:caps w:val="0"/>
          <w:color w:val="auto"/>
          <w:spacing w:val="0"/>
          <w:sz w:val="32"/>
          <w:szCs w:val="32"/>
          <w:shd w:val="clear" w:color="auto" w:fill="FFFFFF"/>
        </w:rPr>
        <w:t>组织对“办案（业务）经费项目”、“公安专用装备购置与设施购建项目”等</w:t>
      </w:r>
      <w:r>
        <w:rPr>
          <w:rFonts w:hint="eastAsia" w:ascii="Times New Roman" w:hAnsi="Times New Roman" w:eastAsia="仿宋_GB2312" w:cs="仿宋_GB2312"/>
          <w:i w:val="0"/>
          <w:iCs w:val="0"/>
          <w:caps w:val="0"/>
          <w:color w:val="auto"/>
          <w:spacing w:val="0"/>
          <w:sz w:val="32"/>
          <w:szCs w:val="32"/>
          <w:shd w:val="clear" w:color="auto" w:fill="FFFFFF"/>
          <w:lang w:eastAsia="zh-CN"/>
        </w:rPr>
        <w:t>2</w:t>
      </w:r>
      <w:r>
        <w:rPr>
          <w:rFonts w:hint="eastAsia" w:ascii="仿宋_GB2312" w:hAnsi="微软雅黑" w:eastAsia="仿宋_GB2312" w:cs="仿宋_GB2312"/>
          <w:i w:val="0"/>
          <w:iCs w:val="0"/>
          <w:caps w:val="0"/>
          <w:color w:val="auto"/>
          <w:spacing w:val="0"/>
          <w:sz w:val="32"/>
          <w:szCs w:val="32"/>
          <w:shd w:val="clear" w:color="auto" w:fill="FFFFFF"/>
        </w:rPr>
        <w:t>个项目开展了项目自评，涉及一般公共预算支出</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30</w:t>
      </w:r>
      <w:r>
        <w:rPr>
          <w:rFonts w:hint="eastAsia" w:ascii="仿宋_GB2312" w:hAnsi="微软雅黑" w:eastAsia="仿宋_GB2312" w:cs="仿宋_GB2312"/>
          <w:i w:val="0"/>
          <w:iCs w:val="0"/>
          <w:caps w:val="0"/>
          <w:color w:val="auto"/>
          <w:spacing w:val="0"/>
          <w:sz w:val="32"/>
          <w:szCs w:val="32"/>
          <w:shd w:val="clear" w:color="auto" w:fill="FFFFFF"/>
          <w:lang w:val="en-US" w:eastAsia="zh-CN"/>
        </w:rPr>
        <w:t>.</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00</w:t>
      </w:r>
      <w:r>
        <w:rPr>
          <w:rFonts w:hint="eastAsia" w:ascii="仿宋_GB2312" w:hAnsi="微软雅黑" w:eastAsia="仿宋_GB2312" w:cs="仿宋_GB2312"/>
          <w:i w:val="0"/>
          <w:iCs w:val="0"/>
          <w:caps w:val="0"/>
          <w:color w:val="auto"/>
          <w:spacing w:val="0"/>
          <w:sz w:val="32"/>
          <w:szCs w:val="32"/>
          <w:shd w:val="clear" w:color="auto" w:fill="FFFFFF"/>
        </w:rPr>
        <w:t>万元，无其他类资金项目。其中，对“办案（业务）经费项目”、“公安专用装备购置与设施购建项目”分别开展绩效自评。从评价情况看，以上项目的实施，使公安工作有序开展，基础保障条件得到改善，装备物资得到有力保障，经费对公安工作支撑力强，深层次支持了公安业务决策和科技发展，但仍存在部分项目绩效目标编制不够科学精准、实施较计划有所延迟、效益及满意度分析有待加强等问题。针对上述问题，我单位将进一步夯实预算编制基础，完善绩效目标审核机制，加强责任落实和沟通协调，确保项目有序实施；注重项目绩效总结与满意度调查分析，全面提高资金使用效益。</w:t>
      </w:r>
    </w:p>
    <w:p w14:paraId="6E035F21">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（二）单位决算中项目绩效自评结果。</w:t>
      </w:r>
    </w:p>
    <w:p w14:paraId="797D760F">
      <w:pPr>
        <w:pStyle w:val="1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内蒙古大兴安岭森林公安局</w:t>
      </w:r>
      <w:r>
        <w:rPr>
          <w:rFonts w:hint="eastAsia" w:ascii="仿宋_GB2312" w:hAnsi="仿宋_GB2312" w:eastAsia="仿宋_GB2312" w:cs="仿宋_GB2312"/>
          <w:i w:val="0"/>
          <w:iCs w:val="0"/>
          <w:caps w:val="0"/>
          <w:color w:val="auto"/>
          <w:spacing w:val="0"/>
          <w:sz w:val="32"/>
          <w:szCs w:val="32"/>
          <w:shd w:val="clear" w:color="auto" w:fill="FFFFFF"/>
          <w:lang w:val="en-US" w:eastAsia="zh-CN"/>
        </w:rPr>
        <w:t>得耳布尔分局</w:t>
      </w:r>
      <w:r>
        <w:rPr>
          <w:rFonts w:hint="eastAsia" w:ascii="Times New Roman" w:hAnsi="Times New Roman" w:eastAsia="仿宋_GB2312" w:cs="仿宋_GB2312"/>
          <w:i w:val="0"/>
          <w:iCs w:val="0"/>
          <w:caps w:val="0"/>
          <w:color w:val="auto"/>
          <w:spacing w:val="0"/>
          <w:sz w:val="32"/>
          <w:szCs w:val="32"/>
          <w:shd w:val="clear" w:color="auto" w:fill="FFFFFF"/>
          <w:lang w:eastAsia="zh-CN"/>
        </w:rPr>
        <w:t>202</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5</w:t>
      </w:r>
      <w:r>
        <w:rPr>
          <w:rFonts w:hint="eastAsia" w:ascii="仿宋_GB2312" w:hAnsi="仿宋_GB2312" w:eastAsia="仿宋_GB2312" w:cs="仿宋_GB2312"/>
          <w:i w:val="0"/>
          <w:iCs w:val="0"/>
          <w:caps w:val="0"/>
          <w:color w:val="auto"/>
          <w:spacing w:val="0"/>
          <w:sz w:val="32"/>
          <w:szCs w:val="32"/>
          <w:shd w:val="clear" w:color="auto" w:fill="FFFFFF"/>
        </w:rPr>
        <w:t>年度在决算中反映</w:t>
      </w:r>
      <w:r>
        <w:rPr>
          <w:rFonts w:hint="eastAsia" w:ascii="Times New Roman" w:hAnsi="Times New Roman" w:eastAsia="仿宋_GB2312" w:cs="仿宋_GB2312"/>
          <w:i w:val="0"/>
          <w:iCs w:val="0"/>
          <w:caps w:val="0"/>
          <w:color w:val="auto"/>
          <w:spacing w:val="0"/>
          <w:sz w:val="32"/>
          <w:szCs w:val="32"/>
          <w:shd w:val="clear" w:color="auto" w:fill="FFFFFF"/>
          <w:lang w:eastAsia="zh-CN"/>
        </w:rPr>
        <w:t>2</w:t>
      </w:r>
      <w:r>
        <w:rPr>
          <w:rFonts w:hint="eastAsia" w:ascii="仿宋_GB2312" w:hAnsi="仿宋_GB2312" w:eastAsia="仿宋_GB2312" w:cs="仿宋_GB2312"/>
          <w:i w:val="0"/>
          <w:iCs w:val="0"/>
          <w:caps w:val="0"/>
          <w:color w:val="auto"/>
          <w:spacing w:val="0"/>
          <w:sz w:val="32"/>
          <w:szCs w:val="32"/>
          <w:shd w:val="clear" w:color="auto" w:fill="FFFFFF"/>
        </w:rPr>
        <w:t>个一般公共预算非涉密项目的绩效自评结果。</w:t>
      </w:r>
    </w:p>
    <w:p w14:paraId="75A58CE5">
      <w:pPr>
        <w:pStyle w:val="1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eastAsia" w:ascii="仿宋_GB2312" w:hAnsi="仿宋_GB2312" w:eastAsia="仿宋_GB2312" w:cs="仿宋_GB2312"/>
          <w:i w:val="0"/>
          <w:iCs w:val="0"/>
          <w:caps w:val="0"/>
          <w:color w:val="auto"/>
          <w:spacing w:val="0"/>
          <w:sz w:val="32"/>
          <w:szCs w:val="32"/>
          <w:shd w:val="clear" w:color="auto" w:fill="FFFFFF"/>
        </w:rPr>
      </w:pPr>
      <w:r>
        <w:rPr>
          <w:rFonts w:hint="eastAsia" w:ascii="Times New Roman" w:hAnsi="Times New Roman" w:eastAsia="仿宋_GB2312" w:cs="仿宋_GB2312"/>
          <w:i w:val="0"/>
          <w:iCs w:val="0"/>
          <w:caps w:val="0"/>
          <w:color w:val="auto"/>
          <w:spacing w:val="0"/>
          <w:sz w:val="32"/>
          <w:szCs w:val="32"/>
          <w:shd w:val="clear" w:color="auto" w:fill="FFFFFF"/>
          <w:lang w:eastAsia="zh-CN"/>
        </w:rPr>
        <w:t>1</w:t>
      </w:r>
      <w:r>
        <w:rPr>
          <w:rFonts w:hint="eastAsia" w:ascii="仿宋_GB2312" w:hAnsi="仿宋_GB2312" w:eastAsia="仿宋_GB2312" w:cs="仿宋_GB2312"/>
          <w:i w:val="0"/>
          <w:iCs w:val="0"/>
          <w:caps w:val="0"/>
          <w:color w:val="auto"/>
          <w:spacing w:val="0"/>
          <w:sz w:val="32"/>
          <w:szCs w:val="32"/>
          <w:shd w:val="clear" w:color="auto" w:fill="FFFFFF"/>
        </w:rPr>
        <w:t>.办案（业务）经费项目自评综述：根据年初设定的绩效目标，项目自评得分</w:t>
      </w:r>
      <w:r>
        <w:rPr>
          <w:rFonts w:hint="eastAsia" w:ascii="Times New Roman" w:hAnsi="Times New Roman" w:eastAsia="仿宋_GB2312" w:cs="仿宋_GB2312"/>
          <w:i w:val="0"/>
          <w:iCs w:val="0"/>
          <w:caps w:val="0"/>
          <w:color w:val="auto"/>
          <w:spacing w:val="0"/>
          <w:sz w:val="32"/>
          <w:szCs w:val="32"/>
          <w:shd w:val="clear" w:color="auto" w:fill="FFFFFF"/>
          <w:lang w:eastAsia="zh-CN"/>
        </w:rPr>
        <w:t>100</w:t>
      </w:r>
      <w:r>
        <w:rPr>
          <w:rFonts w:hint="eastAsia" w:ascii="仿宋_GB2312" w:hAnsi="仿宋_GB2312" w:eastAsia="仿宋_GB2312" w:cs="仿宋_GB2312"/>
          <w:i w:val="0"/>
          <w:iCs w:val="0"/>
          <w:caps w:val="0"/>
          <w:color w:val="auto"/>
          <w:spacing w:val="0"/>
          <w:sz w:val="32"/>
          <w:szCs w:val="32"/>
          <w:shd w:val="clear" w:color="auto" w:fill="FFFFFF"/>
        </w:rPr>
        <w:t>分。全年预算数为</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20</w:t>
      </w:r>
      <w:r>
        <w:rPr>
          <w:rFonts w:hint="eastAsia" w:ascii="仿宋_GB2312" w:hAnsi="仿宋_GB2312" w:eastAsia="仿宋_GB2312" w:cs="仿宋_GB2312"/>
          <w:i w:val="0"/>
          <w:iCs w:val="0"/>
          <w:caps w:val="0"/>
          <w:color w:val="auto"/>
          <w:spacing w:val="0"/>
          <w:sz w:val="32"/>
          <w:szCs w:val="32"/>
          <w:shd w:val="clear" w:color="auto" w:fill="FFFFFF"/>
        </w:rPr>
        <w:t>.</w:t>
      </w:r>
      <w:r>
        <w:rPr>
          <w:rFonts w:hint="eastAsia" w:ascii="Times New Roman" w:hAnsi="Times New Roman" w:eastAsia="仿宋_GB2312" w:cs="仿宋_GB2312"/>
          <w:i w:val="0"/>
          <w:iCs w:val="0"/>
          <w:caps w:val="0"/>
          <w:color w:val="auto"/>
          <w:spacing w:val="0"/>
          <w:sz w:val="32"/>
          <w:szCs w:val="32"/>
          <w:shd w:val="clear" w:color="auto" w:fill="FFFFFF"/>
          <w:lang w:eastAsia="zh-CN"/>
        </w:rPr>
        <w:t>00</w:t>
      </w:r>
      <w:r>
        <w:rPr>
          <w:rFonts w:hint="eastAsia" w:ascii="仿宋_GB2312" w:hAnsi="仿宋_GB2312" w:eastAsia="仿宋_GB2312" w:cs="仿宋_GB2312"/>
          <w:i w:val="0"/>
          <w:iCs w:val="0"/>
          <w:caps w:val="0"/>
          <w:color w:val="auto"/>
          <w:spacing w:val="0"/>
          <w:sz w:val="32"/>
          <w:szCs w:val="32"/>
          <w:shd w:val="clear" w:color="auto" w:fill="FFFFFF"/>
        </w:rPr>
        <w:t>万元，执行数为</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2</w:t>
      </w:r>
      <w:r>
        <w:rPr>
          <w:rFonts w:hint="eastAsia" w:ascii="Times New Roman" w:hAnsi="Times New Roman" w:eastAsia="仿宋_GB2312" w:cs="仿宋_GB2312"/>
          <w:i w:val="0"/>
          <w:iCs w:val="0"/>
          <w:caps w:val="0"/>
          <w:color w:val="auto"/>
          <w:spacing w:val="0"/>
          <w:sz w:val="32"/>
          <w:szCs w:val="32"/>
          <w:shd w:val="clear" w:color="auto" w:fill="FFFFFF"/>
          <w:lang w:eastAsia="zh-CN"/>
        </w:rPr>
        <w:t>0</w:t>
      </w:r>
      <w:r>
        <w:rPr>
          <w:rFonts w:hint="eastAsia" w:ascii="仿宋_GB2312" w:hAnsi="仿宋_GB2312" w:eastAsia="仿宋_GB2312" w:cs="仿宋_GB2312"/>
          <w:i w:val="0"/>
          <w:iCs w:val="0"/>
          <w:caps w:val="0"/>
          <w:color w:val="auto"/>
          <w:spacing w:val="0"/>
          <w:sz w:val="32"/>
          <w:szCs w:val="32"/>
          <w:shd w:val="clear" w:color="auto" w:fill="FFFFFF"/>
        </w:rPr>
        <w:t>.</w:t>
      </w:r>
      <w:r>
        <w:rPr>
          <w:rFonts w:hint="eastAsia" w:ascii="Times New Roman" w:hAnsi="Times New Roman" w:eastAsia="仿宋_GB2312" w:cs="仿宋_GB2312"/>
          <w:i w:val="0"/>
          <w:iCs w:val="0"/>
          <w:caps w:val="0"/>
          <w:color w:val="auto"/>
          <w:spacing w:val="0"/>
          <w:sz w:val="32"/>
          <w:szCs w:val="32"/>
          <w:shd w:val="clear" w:color="auto" w:fill="FFFFFF"/>
          <w:lang w:eastAsia="zh-CN"/>
        </w:rPr>
        <w:t>00</w:t>
      </w:r>
      <w:r>
        <w:rPr>
          <w:rFonts w:hint="eastAsia" w:ascii="仿宋_GB2312" w:hAnsi="仿宋_GB2312" w:eastAsia="仿宋_GB2312" w:cs="仿宋_GB2312"/>
          <w:i w:val="0"/>
          <w:iCs w:val="0"/>
          <w:caps w:val="0"/>
          <w:color w:val="auto"/>
          <w:spacing w:val="0"/>
          <w:sz w:val="32"/>
          <w:szCs w:val="32"/>
          <w:shd w:val="clear" w:color="auto" w:fill="FFFFFF"/>
        </w:rPr>
        <w:t>万元，完成预算的</w:t>
      </w:r>
      <w:r>
        <w:rPr>
          <w:rFonts w:hint="eastAsia" w:ascii="Times New Roman" w:hAnsi="Times New Roman" w:eastAsia="仿宋_GB2312" w:cs="仿宋_GB2312"/>
          <w:i w:val="0"/>
          <w:iCs w:val="0"/>
          <w:caps w:val="0"/>
          <w:color w:val="auto"/>
          <w:spacing w:val="0"/>
          <w:sz w:val="32"/>
          <w:szCs w:val="32"/>
          <w:shd w:val="clear" w:color="auto" w:fill="FFFFFF"/>
          <w:lang w:eastAsia="zh-CN"/>
        </w:rPr>
        <w:t>100</w:t>
      </w:r>
      <w:r>
        <w:rPr>
          <w:rFonts w:hint="eastAsia" w:ascii="仿宋_GB2312" w:hAnsi="仿宋_GB2312" w:eastAsia="仿宋_GB2312" w:cs="仿宋_GB2312"/>
          <w:i w:val="0"/>
          <w:iCs w:val="0"/>
          <w:caps w:val="0"/>
          <w:color w:val="auto"/>
          <w:spacing w:val="0"/>
          <w:sz w:val="32"/>
          <w:szCs w:val="32"/>
          <w:shd w:val="clear" w:color="auto" w:fill="FFFFFF"/>
        </w:rPr>
        <w:t>.</w:t>
      </w:r>
      <w:r>
        <w:rPr>
          <w:rFonts w:hint="eastAsia" w:ascii="Times New Roman" w:hAnsi="Times New Roman" w:eastAsia="仿宋_GB2312" w:cs="仿宋_GB2312"/>
          <w:i w:val="0"/>
          <w:iCs w:val="0"/>
          <w:caps w:val="0"/>
          <w:color w:val="auto"/>
          <w:spacing w:val="0"/>
          <w:sz w:val="32"/>
          <w:szCs w:val="32"/>
          <w:shd w:val="clear" w:color="auto" w:fill="FFFFFF"/>
          <w:lang w:eastAsia="zh-CN"/>
        </w:rPr>
        <w:t>00</w:t>
      </w:r>
      <w:r>
        <w:rPr>
          <w:rFonts w:hint="eastAsia" w:ascii="仿宋_GB2312" w:hAnsi="仿宋_GB2312" w:eastAsia="仿宋_GB2312" w:cs="仿宋_GB2312"/>
          <w:i w:val="0"/>
          <w:iCs w:val="0"/>
          <w:caps w:val="0"/>
          <w:color w:val="auto"/>
          <w:spacing w:val="0"/>
          <w:sz w:val="32"/>
          <w:szCs w:val="32"/>
          <w:shd w:val="clear" w:color="auto" w:fill="FFFFFF"/>
        </w:rPr>
        <w:t>%。项目绩效目标完成情况</w:t>
      </w:r>
      <w:r>
        <w:rPr>
          <w:rFonts w:hint="eastAsia" w:ascii="仿宋_GB2312" w:hAnsi="仿宋_GB2312" w:eastAsia="仿宋_GB2312" w:cs="仿宋_GB2312"/>
          <w:color w:val="auto"/>
          <w:kern w:val="2"/>
          <w:sz w:val="32"/>
          <w:szCs w:val="32"/>
          <w:lang w:val="en-US" w:eastAsia="zh-CN"/>
        </w:rPr>
        <w:t>：内蒙古大兴安岭森林公安局得耳布尔分局认真开展公安工作，提高整体办案水平，开展森林及野生动植物资源的保护，查处破坏森林及野生动植物案件、治安案件等，负责辖区反恐禁毒等工作。保证办案（业务）经费全部用于执法办案，用以维护辖区社会稳定和治安秩序。截止</w:t>
      </w:r>
      <w:r>
        <w:rPr>
          <w:rFonts w:hint="eastAsia" w:ascii="Times New Roman" w:hAnsi="Times New Roman" w:eastAsia="仿宋_GB2312" w:cs="仿宋_GB2312"/>
          <w:color w:val="auto"/>
          <w:kern w:val="2"/>
          <w:sz w:val="32"/>
          <w:szCs w:val="32"/>
          <w:lang w:val="en-US" w:eastAsia="zh-CN"/>
        </w:rPr>
        <w:t>2025</w:t>
      </w:r>
      <w:r>
        <w:rPr>
          <w:rFonts w:hint="eastAsia" w:ascii="仿宋_GB2312" w:hAnsi="仿宋_GB2312" w:eastAsia="仿宋_GB2312" w:cs="仿宋_GB2312"/>
          <w:color w:val="auto"/>
          <w:kern w:val="2"/>
          <w:sz w:val="32"/>
          <w:szCs w:val="32"/>
          <w:lang w:val="en-US" w:eastAsia="zh-CN"/>
        </w:rPr>
        <w:t>年末，办案（业务）经费项目</w:t>
      </w:r>
      <w:r>
        <w:rPr>
          <w:rFonts w:hint="eastAsia" w:ascii="仿宋_GB2312" w:hAnsi="微软雅黑" w:eastAsia="仿宋_GB2312" w:cs="仿宋_GB2312"/>
          <w:i w:val="0"/>
          <w:iCs w:val="0"/>
          <w:caps w:val="0"/>
          <w:color w:val="auto"/>
          <w:spacing w:val="0"/>
          <w:sz w:val="32"/>
          <w:szCs w:val="32"/>
          <w:shd w:val="clear" w:color="auto" w:fill="FFFFFF"/>
        </w:rPr>
        <w:t>已完成年度目标和所有绩效指标</w:t>
      </w:r>
      <w:r>
        <w:rPr>
          <w:rFonts w:hint="eastAsia" w:ascii="仿宋_GB2312" w:hAnsi="仿宋_GB2312" w:eastAsia="仿宋_GB2312" w:cs="仿宋_GB2312"/>
          <w:color w:val="auto"/>
          <w:kern w:val="2"/>
          <w:sz w:val="32"/>
          <w:szCs w:val="32"/>
          <w:lang w:val="en-US" w:eastAsia="zh-CN"/>
        </w:rPr>
        <w:t>。</w:t>
      </w:r>
      <w:r>
        <w:rPr>
          <w:rFonts w:hint="eastAsia" w:ascii="仿宋_GB2312" w:hAnsi="仿宋_GB2312" w:eastAsia="仿宋_GB2312" w:cs="仿宋_GB2312"/>
          <w:i w:val="0"/>
          <w:iCs w:val="0"/>
          <w:caps w:val="0"/>
          <w:color w:val="auto"/>
          <w:spacing w:val="0"/>
          <w:sz w:val="32"/>
          <w:szCs w:val="32"/>
          <w:shd w:val="clear" w:color="auto" w:fill="FFFFFF"/>
        </w:rPr>
        <w:t>发现的主要问题及原因：经费预算编制不够精准。在预算编制过程中，对案件的复杂程度和所需资源估计不足，导致部分办案经费分配不合理，影响了经费支出效率和质量。下一步改进措施：针对以上问题，我们将采取以下改进措施：加强预算编制的科学性和精准性。深入调研各类案件的特点和需求，结合历史数据和实际情况，合理预估办案经费，确保预算编制更加合理、准确。</w:t>
      </w:r>
    </w:p>
    <w:p w14:paraId="443CA646">
      <w:pPr>
        <w:pStyle w:val="1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eastAsia" w:ascii="仿宋_GB2312" w:hAnsi="仿宋_GB2312" w:eastAsia="仿宋_GB2312" w:cs="仿宋_GB2312"/>
          <w:i w:val="0"/>
          <w:iCs w:val="0"/>
          <w:caps w:val="0"/>
          <w:color w:val="auto"/>
          <w:spacing w:val="0"/>
          <w:sz w:val="32"/>
          <w:szCs w:val="32"/>
        </w:rPr>
      </w:pPr>
      <w:r>
        <w:rPr>
          <w:rFonts w:hint="eastAsia" w:ascii="Times New Roman" w:hAnsi="Times New Roman" w:eastAsia="仿宋_GB2312" w:cs="仿宋_GB2312"/>
          <w:i w:val="0"/>
          <w:iCs w:val="0"/>
          <w:caps w:val="0"/>
          <w:color w:val="auto"/>
          <w:spacing w:val="0"/>
          <w:sz w:val="32"/>
          <w:szCs w:val="32"/>
          <w:shd w:val="clear" w:color="auto" w:fill="FFFFFF"/>
          <w:lang w:eastAsia="zh-CN"/>
        </w:rPr>
        <w:t>2</w:t>
      </w:r>
      <w:r>
        <w:rPr>
          <w:rFonts w:hint="eastAsia" w:ascii="仿宋_GB2312" w:hAnsi="仿宋_GB2312" w:eastAsia="仿宋_GB2312" w:cs="仿宋_GB2312"/>
          <w:i w:val="0"/>
          <w:iCs w:val="0"/>
          <w:caps w:val="0"/>
          <w:color w:val="auto"/>
          <w:spacing w:val="0"/>
          <w:sz w:val="32"/>
          <w:szCs w:val="32"/>
          <w:shd w:val="clear" w:color="auto" w:fill="FFFFFF"/>
        </w:rPr>
        <w:t>.公安专用装备购置与设施购建项目自评综述：根据年初设定的绩效目标，项目自评得分</w:t>
      </w:r>
      <w:r>
        <w:rPr>
          <w:rFonts w:hint="eastAsia" w:ascii="Times New Roman" w:hAnsi="Times New Roman" w:eastAsia="仿宋_GB2312" w:cs="仿宋_GB2312"/>
          <w:i w:val="0"/>
          <w:iCs w:val="0"/>
          <w:caps w:val="0"/>
          <w:color w:val="auto"/>
          <w:spacing w:val="0"/>
          <w:sz w:val="32"/>
          <w:szCs w:val="32"/>
          <w:shd w:val="clear" w:color="auto" w:fill="FFFFFF"/>
          <w:lang w:eastAsia="zh-CN"/>
        </w:rPr>
        <w:t>100</w:t>
      </w:r>
      <w:r>
        <w:rPr>
          <w:rFonts w:hint="eastAsia" w:ascii="仿宋_GB2312" w:hAnsi="仿宋_GB2312" w:eastAsia="仿宋_GB2312" w:cs="仿宋_GB2312"/>
          <w:i w:val="0"/>
          <w:iCs w:val="0"/>
          <w:caps w:val="0"/>
          <w:color w:val="auto"/>
          <w:spacing w:val="0"/>
          <w:sz w:val="32"/>
          <w:szCs w:val="32"/>
          <w:shd w:val="clear" w:color="auto" w:fill="FFFFFF"/>
        </w:rPr>
        <w:t>分。全年预算数为</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1</w:t>
      </w:r>
      <w:r>
        <w:rPr>
          <w:rFonts w:hint="eastAsia" w:ascii="Times New Roman" w:hAnsi="Times New Roman" w:eastAsia="仿宋_GB2312" w:cs="仿宋_GB2312"/>
          <w:i w:val="0"/>
          <w:iCs w:val="0"/>
          <w:caps w:val="0"/>
          <w:color w:val="auto"/>
          <w:spacing w:val="0"/>
          <w:sz w:val="32"/>
          <w:szCs w:val="32"/>
          <w:shd w:val="clear" w:color="auto" w:fill="FFFFFF"/>
          <w:lang w:eastAsia="zh-CN"/>
        </w:rPr>
        <w:t>0.00</w:t>
      </w:r>
      <w:r>
        <w:rPr>
          <w:rFonts w:hint="eastAsia" w:ascii="仿宋_GB2312" w:hAnsi="仿宋_GB2312" w:eastAsia="仿宋_GB2312" w:cs="仿宋_GB2312"/>
          <w:i w:val="0"/>
          <w:iCs w:val="0"/>
          <w:caps w:val="0"/>
          <w:color w:val="auto"/>
          <w:spacing w:val="0"/>
          <w:sz w:val="32"/>
          <w:szCs w:val="32"/>
          <w:shd w:val="clear" w:color="auto" w:fill="FFFFFF"/>
        </w:rPr>
        <w:t>万元，执行数为</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10.00</w:t>
      </w:r>
      <w:r>
        <w:rPr>
          <w:rFonts w:hint="eastAsia" w:ascii="仿宋_GB2312" w:hAnsi="仿宋_GB2312" w:eastAsia="仿宋_GB2312" w:cs="仿宋_GB2312"/>
          <w:i w:val="0"/>
          <w:iCs w:val="0"/>
          <w:caps w:val="0"/>
          <w:color w:val="auto"/>
          <w:spacing w:val="0"/>
          <w:sz w:val="32"/>
          <w:szCs w:val="32"/>
          <w:shd w:val="clear" w:color="auto" w:fill="FFFFFF"/>
        </w:rPr>
        <w:t>万元，完成预算的</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100.00</w:t>
      </w:r>
      <w:r>
        <w:rPr>
          <w:rFonts w:hint="eastAsia" w:ascii="仿宋_GB2312" w:hAnsi="仿宋_GB2312" w:eastAsia="仿宋_GB2312" w:cs="仿宋_GB2312"/>
          <w:i w:val="0"/>
          <w:iCs w:val="0"/>
          <w:caps w:val="0"/>
          <w:color w:val="auto"/>
          <w:spacing w:val="0"/>
          <w:sz w:val="32"/>
          <w:szCs w:val="32"/>
          <w:shd w:val="clear" w:color="auto" w:fill="FFFFFF"/>
        </w:rPr>
        <w:t>%。项目绩效目标完成情况：</w:t>
      </w:r>
      <w:r>
        <w:rPr>
          <w:rFonts w:hint="eastAsia" w:ascii="仿宋_GB2312" w:hAnsi="仿宋_GB2312" w:eastAsia="仿宋_GB2312" w:cs="仿宋_GB2312"/>
          <w:color w:val="auto"/>
          <w:kern w:val="2"/>
          <w:sz w:val="32"/>
          <w:szCs w:val="32"/>
          <w:lang w:val="en-US" w:eastAsia="zh-CN"/>
        </w:rPr>
        <w:t>内蒙古大兴安岭森林公安局得耳布尔分局认真开展公安工作，提高整体业务装备水平，严格按照政府采购法和内控制度的规定，结合执法办案实际需求，严格控制装备购置数量，确保设备达到预期标准，验收合格率必须达到</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100.00</w:t>
      </w:r>
      <w:r>
        <w:rPr>
          <w:rFonts w:hint="eastAsia" w:ascii="仿宋_GB2312" w:hAnsi="仿宋_GB2312" w:eastAsia="仿宋_GB2312" w:cs="仿宋_GB2312"/>
          <w:color w:val="auto"/>
          <w:kern w:val="2"/>
          <w:sz w:val="32"/>
          <w:szCs w:val="32"/>
          <w:lang w:val="en-US" w:eastAsia="zh-CN"/>
        </w:rPr>
        <w:t>%。特警装备购置成本、刑侦专用设备购置成本必须在预算数内执行，保证使用人员满意度达到</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90.00</w:t>
      </w:r>
      <w:r>
        <w:rPr>
          <w:rFonts w:hint="eastAsia" w:ascii="仿宋_GB2312" w:hAnsi="仿宋_GB2312" w:eastAsia="仿宋_GB2312" w:cs="仿宋_GB2312"/>
          <w:color w:val="auto"/>
          <w:kern w:val="2"/>
          <w:sz w:val="32"/>
          <w:szCs w:val="32"/>
          <w:lang w:val="en-US" w:eastAsia="zh-CN"/>
        </w:rPr>
        <w:t>%以上，保证</w:t>
      </w:r>
      <w:r>
        <w:rPr>
          <w:rFonts w:hint="eastAsia" w:ascii="仿宋_GB2312" w:hAnsi="仿宋_GB2312" w:eastAsia="仿宋_GB2312" w:cs="仿宋_GB2312"/>
          <w:bCs/>
          <w:color w:val="auto"/>
          <w:sz w:val="32"/>
          <w:szCs w:val="32"/>
          <w:lang w:eastAsia="zh-CN"/>
        </w:rPr>
        <w:t>公安专用装备购置与设施购建</w:t>
      </w:r>
      <w:r>
        <w:rPr>
          <w:rFonts w:hint="eastAsia" w:ascii="仿宋_GB2312" w:hAnsi="仿宋_GB2312" w:eastAsia="仿宋_GB2312" w:cs="仿宋_GB2312"/>
          <w:color w:val="auto"/>
          <w:kern w:val="2"/>
          <w:sz w:val="32"/>
          <w:szCs w:val="32"/>
          <w:lang w:val="en-US" w:eastAsia="zh-CN"/>
        </w:rPr>
        <w:t>经费全部用于执法办案，用以维护辖区社会稳定和治安秩序。截止</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2025</w:t>
      </w:r>
      <w:r>
        <w:rPr>
          <w:rFonts w:hint="eastAsia" w:ascii="仿宋_GB2312" w:hAnsi="仿宋_GB2312" w:eastAsia="仿宋_GB2312" w:cs="仿宋_GB2312"/>
          <w:color w:val="auto"/>
          <w:kern w:val="2"/>
          <w:sz w:val="32"/>
          <w:szCs w:val="32"/>
          <w:lang w:val="en-US" w:eastAsia="zh-CN"/>
        </w:rPr>
        <w:t>年末</w:t>
      </w:r>
      <w:r>
        <w:rPr>
          <w:rFonts w:hint="eastAsia" w:ascii="仿宋_GB2312" w:hAnsi="仿宋_GB2312" w:eastAsia="仿宋_GB2312" w:cs="仿宋_GB2312"/>
          <w:i w:val="0"/>
          <w:iCs w:val="0"/>
          <w:caps w:val="0"/>
          <w:color w:val="auto"/>
          <w:spacing w:val="0"/>
          <w:sz w:val="32"/>
          <w:szCs w:val="32"/>
          <w:shd w:val="clear" w:color="auto" w:fill="FFFFFF"/>
        </w:rPr>
        <w:t>，公安专用装备</w:t>
      </w:r>
      <w:r>
        <w:rPr>
          <w:rFonts w:hint="eastAsia" w:ascii="仿宋_GB2312" w:hAnsi="仿宋_GB2312" w:eastAsia="仿宋_GB2312" w:cs="仿宋_GB2312"/>
          <w:i w:val="0"/>
          <w:iCs w:val="0"/>
          <w:caps w:val="0"/>
          <w:color w:val="auto"/>
          <w:spacing w:val="0"/>
          <w:sz w:val="32"/>
          <w:szCs w:val="32"/>
          <w:shd w:val="clear" w:color="auto" w:fill="FFFFFF"/>
          <w:lang w:val="en-US" w:eastAsia="zh-CN"/>
        </w:rPr>
        <w:t>购置</w:t>
      </w:r>
      <w:r>
        <w:rPr>
          <w:rFonts w:hint="eastAsia" w:ascii="仿宋_GB2312" w:hAnsi="仿宋_GB2312" w:eastAsia="仿宋_GB2312" w:cs="仿宋_GB2312"/>
          <w:i w:val="0"/>
          <w:iCs w:val="0"/>
          <w:caps w:val="0"/>
          <w:color w:val="auto"/>
          <w:spacing w:val="0"/>
          <w:sz w:val="32"/>
          <w:szCs w:val="32"/>
          <w:shd w:val="clear" w:color="auto" w:fill="FFFFFF"/>
        </w:rPr>
        <w:t>与设施购建项目已完成年度目标和所有绩效指标。发现的主要问题及原因：经费预算编制不够精准。在预算编制过程中，对案件的复杂程度和所需资源估计不足，导致部分办案经费分配不合理，影响了经费支出效率和质量。下一步改进措施：针对以上问题，我们将采取以下改进措施：加强预算编制的科学性和精准性。深入调研各类案件的特点和需求，结合历史数据和实际情况，合理预估办案经费，确保预算编制更加合理、准确。</w:t>
      </w:r>
    </w:p>
    <w:p w14:paraId="039AF48F">
      <w:pPr>
        <w:pStyle w:val="1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outlineLvl w:val="9"/>
        <w:rPr>
          <w:rFonts w:hint="eastAsia" w:ascii="仿宋_GB2312" w:hAnsi="仿宋_GB2312" w:eastAsia="仿宋_GB2312" w:cs="仿宋_GB2312"/>
          <w:i w:val="0"/>
          <w:iCs w:val="0"/>
          <w:caps w:val="0"/>
          <w:color w:val="auto"/>
          <w:spacing w:val="0"/>
          <w:sz w:val="32"/>
          <w:szCs w:val="32"/>
          <w:shd w:val="clear" w:color="auto" w:fill="FFFFFF"/>
        </w:rPr>
      </w:pPr>
    </w:p>
    <w:tbl>
      <w:tblPr>
        <w:tblStyle w:val="19"/>
        <w:tblW w:w="8977" w:type="dxa"/>
        <w:tblInd w:w="0" w:type="dxa"/>
        <w:shd w:val="clear" w:color="auto" w:fill="auto"/>
        <w:tblLayout w:type="fixed"/>
        <w:tblCellMar>
          <w:top w:w="0" w:type="dxa"/>
          <w:left w:w="0" w:type="dxa"/>
          <w:bottom w:w="0" w:type="dxa"/>
          <w:right w:w="0" w:type="dxa"/>
        </w:tblCellMar>
      </w:tblPr>
      <w:tblGrid>
        <w:gridCol w:w="664"/>
        <w:gridCol w:w="665"/>
        <w:gridCol w:w="1297"/>
        <w:gridCol w:w="1031"/>
        <w:gridCol w:w="550"/>
        <w:gridCol w:w="550"/>
        <w:gridCol w:w="550"/>
        <w:gridCol w:w="550"/>
        <w:gridCol w:w="577"/>
        <w:gridCol w:w="577"/>
        <w:gridCol w:w="727"/>
        <w:gridCol w:w="414"/>
        <w:gridCol w:w="825"/>
      </w:tblGrid>
      <w:tr w14:paraId="17A65DEE">
        <w:tblPrEx>
          <w:shd w:val="clear" w:color="auto" w:fill="auto"/>
          <w:tblCellMar>
            <w:top w:w="0" w:type="dxa"/>
            <w:left w:w="0" w:type="dxa"/>
            <w:bottom w:w="0" w:type="dxa"/>
            <w:right w:w="0" w:type="dxa"/>
          </w:tblCellMar>
        </w:tblPrEx>
        <w:trPr>
          <w:trHeight w:val="1320" w:hRule="atLeast"/>
        </w:trPr>
        <w:tc>
          <w:tcPr>
            <w:tcW w:w="8977"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3445E">
            <w:pPr>
              <w:keepNext w:val="0"/>
              <w:keepLines w:val="0"/>
              <w:widowControl/>
              <w:suppressLineNumbers w:val="0"/>
              <w:jc w:val="center"/>
              <w:textAlignment w:val="center"/>
              <w:rPr>
                <w:rFonts w:hint="eastAsia" w:ascii="仿宋_GB2312" w:hAnsi="仿宋_GB2312" w:eastAsia="仿宋_GB2312" w:cs="仿宋_GB2312"/>
                <w:b/>
                <w:i w:val="0"/>
                <w:color w:val="auto"/>
                <w:sz w:val="32"/>
                <w:szCs w:val="32"/>
                <w:u w:val="none"/>
              </w:rPr>
            </w:pPr>
            <w:r>
              <w:rPr>
                <w:rFonts w:hint="eastAsia" w:ascii="方正小标宋简体" w:hAnsi="方正小标宋简体" w:eastAsia="方正小标宋简体" w:cs="方正小标宋简体"/>
                <w:b w:val="0"/>
                <w:bCs/>
                <w:i w:val="0"/>
                <w:color w:val="auto"/>
                <w:kern w:val="0"/>
                <w:sz w:val="32"/>
                <w:szCs w:val="32"/>
                <w:u w:val="none"/>
                <w:lang w:val="en-US" w:eastAsia="zh-CN" w:bidi="ar"/>
              </w:rPr>
              <w:t>项目支出绩效自评表</w:t>
            </w:r>
            <w:r>
              <w:rPr>
                <w:rFonts w:hint="eastAsia" w:ascii="方正小标宋简体" w:hAnsi="方正小标宋简体" w:eastAsia="方正小标宋简体" w:cs="方正小标宋简体"/>
                <w:b w:val="0"/>
                <w:bCs/>
                <w:i w:val="0"/>
                <w:color w:val="auto"/>
                <w:kern w:val="0"/>
                <w:sz w:val="32"/>
                <w:szCs w:val="32"/>
                <w:u w:val="none"/>
                <w:lang w:val="en-US" w:eastAsia="zh-CN" w:bidi="ar"/>
              </w:rPr>
              <w:br w:type="textWrapping"/>
            </w:r>
            <w:r>
              <w:rPr>
                <w:rFonts w:hint="eastAsia" w:ascii="方正小标宋简体" w:hAnsi="方正小标宋简体" w:eastAsia="方正小标宋简体" w:cs="方正小标宋简体"/>
                <w:b w:val="0"/>
                <w:bCs/>
                <w:i w:val="0"/>
                <w:color w:val="auto"/>
                <w:kern w:val="0"/>
                <w:sz w:val="32"/>
                <w:szCs w:val="32"/>
                <w:u w:val="none"/>
                <w:lang w:val="en-US" w:eastAsia="zh-CN" w:bidi="ar"/>
              </w:rPr>
              <w:t>(</w:t>
            </w:r>
            <w:r>
              <w:rPr>
                <w:rFonts w:hint="eastAsia" w:ascii="Times New Roman" w:hAnsi="Times New Roman" w:eastAsia="方正小标宋简体" w:cs="方正小标宋简体"/>
                <w:b w:val="0"/>
                <w:bCs/>
                <w:i w:val="0"/>
                <w:color w:val="auto"/>
                <w:kern w:val="0"/>
                <w:sz w:val="32"/>
                <w:szCs w:val="32"/>
                <w:u w:val="none"/>
                <w:lang w:val="en-US" w:eastAsia="zh-CN" w:bidi="ar"/>
              </w:rPr>
              <w:t>2025</w:t>
            </w:r>
            <w:r>
              <w:rPr>
                <w:rFonts w:hint="eastAsia" w:ascii="方正小标宋简体" w:hAnsi="方正小标宋简体" w:eastAsia="方正小标宋简体" w:cs="方正小标宋简体"/>
                <w:b w:val="0"/>
                <w:bCs/>
                <w:i w:val="0"/>
                <w:color w:val="auto"/>
                <w:kern w:val="0"/>
                <w:sz w:val="32"/>
                <w:szCs w:val="32"/>
                <w:u w:val="none"/>
                <w:lang w:val="en-US" w:eastAsia="zh-CN" w:bidi="ar"/>
              </w:rPr>
              <w:t>年度）</w:t>
            </w:r>
          </w:p>
        </w:tc>
      </w:tr>
      <w:tr w14:paraId="1761BA65">
        <w:tblPrEx>
          <w:tblCellMar>
            <w:top w:w="0" w:type="dxa"/>
            <w:left w:w="0" w:type="dxa"/>
            <w:bottom w:w="0" w:type="dxa"/>
            <w:right w:w="0" w:type="dxa"/>
          </w:tblCellMar>
        </w:tblPrEx>
        <w:trPr>
          <w:trHeight w:val="520" w:hRule="atLeast"/>
        </w:trPr>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A458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项目名称</w:t>
            </w:r>
          </w:p>
        </w:tc>
        <w:tc>
          <w:tcPr>
            <w:tcW w:w="7648"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3438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办案（业务）经费</w:t>
            </w:r>
          </w:p>
        </w:tc>
      </w:tr>
      <w:tr w14:paraId="1E1D4FCF">
        <w:tblPrEx>
          <w:tblCellMar>
            <w:top w:w="0" w:type="dxa"/>
            <w:left w:w="0" w:type="dxa"/>
            <w:bottom w:w="0" w:type="dxa"/>
            <w:right w:w="0" w:type="dxa"/>
          </w:tblCellMar>
        </w:tblPrEx>
        <w:trPr>
          <w:trHeight w:val="1140" w:hRule="atLeast"/>
        </w:trPr>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50F4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主管部门</w:t>
            </w:r>
          </w:p>
        </w:tc>
        <w:tc>
          <w:tcPr>
            <w:tcW w:w="342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BE2B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内蒙古自治区公安厅部门</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FAEF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实施单位</w:t>
            </w:r>
          </w:p>
        </w:tc>
        <w:tc>
          <w:tcPr>
            <w:tcW w:w="312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8FAF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内蒙古大兴安岭森林公安局得耳布尔分局</w:t>
            </w:r>
          </w:p>
        </w:tc>
      </w:tr>
      <w:tr w14:paraId="7DBFB381">
        <w:tblPrEx>
          <w:tblCellMar>
            <w:top w:w="0" w:type="dxa"/>
            <w:left w:w="0" w:type="dxa"/>
            <w:bottom w:w="0" w:type="dxa"/>
            <w:right w:w="0" w:type="dxa"/>
          </w:tblCellMar>
        </w:tblPrEx>
        <w:trPr>
          <w:trHeight w:val="1080" w:hRule="atLeast"/>
        </w:trPr>
        <w:tc>
          <w:tcPr>
            <w:tcW w:w="13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E2DE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项目资金</w:t>
            </w:r>
            <w:r>
              <w:rPr>
                <w:rFonts w:hint="eastAsia" w:ascii="仿宋_GB2312" w:hAnsi="仿宋_GB2312" w:eastAsia="仿宋_GB2312" w:cs="仿宋_GB2312"/>
                <w:i w:val="0"/>
                <w:color w:val="auto"/>
                <w:kern w:val="0"/>
                <w:sz w:val="32"/>
                <w:szCs w:val="32"/>
                <w:u w:val="none"/>
                <w:lang w:val="en-US" w:eastAsia="zh-CN" w:bidi="ar"/>
              </w:rPr>
              <w:br w:type="textWrapping"/>
            </w:r>
            <w:r>
              <w:rPr>
                <w:rFonts w:hint="eastAsia" w:ascii="仿宋_GB2312" w:hAnsi="仿宋_GB2312" w:eastAsia="仿宋_GB2312" w:cs="仿宋_GB2312"/>
                <w:i w:val="0"/>
                <w:color w:val="auto"/>
                <w:kern w:val="0"/>
                <w:sz w:val="32"/>
                <w:szCs w:val="32"/>
                <w:u w:val="none"/>
                <w:lang w:val="en-US" w:eastAsia="zh-CN" w:bidi="ar"/>
              </w:rPr>
              <w:t>（万元）</w:t>
            </w:r>
          </w:p>
        </w:tc>
        <w:tc>
          <w:tcPr>
            <w:tcW w:w="1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17B59">
            <w:pPr>
              <w:jc w:val="center"/>
              <w:rPr>
                <w:rFonts w:hint="eastAsia" w:ascii="仿宋_GB2312" w:hAnsi="仿宋_GB2312" w:eastAsia="仿宋_GB2312" w:cs="仿宋_GB2312"/>
                <w:i w:val="0"/>
                <w:color w:val="auto"/>
                <w:sz w:val="32"/>
                <w:szCs w:val="32"/>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96E9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年初预算数</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A948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全年预算数</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7914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全年执行数</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D392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分值</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898B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执行率（%）</w:t>
            </w:r>
          </w:p>
        </w:tc>
        <w:tc>
          <w:tcPr>
            <w:tcW w:w="12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D65B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得分</w:t>
            </w:r>
          </w:p>
        </w:tc>
      </w:tr>
      <w:tr w14:paraId="09002D00">
        <w:tblPrEx>
          <w:tblCellMar>
            <w:top w:w="0" w:type="dxa"/>
            <w:left w:w="0" w:type="dxa"/>
            <w:bottom w:w="0" w:type="dxa"/>
            <w:right w:w="0" w:type="dxa"/>
          </w:tblCellMar>
        </w:tblPrEx>
        <w:trPr>
          <w:trHeight w:val="1280" w:hRule="atLeast"/>
        </w:trPr>
        <w:tc>
          <w:tcPr>
            <w:tcW w:w="13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1AFFF">
            <w:pPr>
              <w:jc w:val="center"/>
              <w:rPr>
                <w:rFonts w:hint="eastAsia" w:ascii="宋体" w:hAnsi="宋体" w:eastAsia="宋体" w:cs="宋体"/>
                <w:i w:val="0"/>
                <w:color w:val="auto"/>
                <w:sz w:val="28"/>
                <w:szCs w:val="28"/>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DDAC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年度资金总额</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80B1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4F1E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20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1D4C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20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A779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C503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12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5BA2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r>
      <w:tr w14:paraId="30459BCC">
        <w:tblPrEx>
          <w:tblCellMar>
            <w:top w:w="0" w:type="dxa"/>
            <w:left w:w="0" w:type="dxa"/>
            <w:bottom w:w="0" w:type="dxa"/>
            <w:right w:w="0" w:type="dxa"/>
          </w:tblCellMar>
        </w:tblPrEx>
        <w:trPr>
          <w:trHeight w:val="1280" w:hRule="atLeast"/>
        </w:trPr>
        <w:tc>
          <w:tcPr>
            <w:tcW w:w="13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2D546">
            <w:pPr>
              <w:jc w:val="center"/>
              <w:rPr>
                <w:rFonts w:hint="eastAsia" w:ascii="宋体" w:hAnsi="宋体" w:eastAsia="宋体" w:cs="宋体"/>
                <w:i w:val="0"/>
                <w:color w:val="auto"/>
                <w:sz w:val="28"/>
                <w:szCs w:val="28"/>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D7C7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其中：财政拨款</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8582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5FBC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20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749B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20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61D46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A47F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12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B95F8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r>
      <w:tr w14:paraId="6C5614B9">
        <w:tblPrEx>
          <w:tblCellMar>
            <w:top w:w="0" w:type="dxa"/>
            <w:left w:w="0" w:type="dxa"/>
            <w:bottom w:w="0" w:type="dxa"/>
            <w:right w:w="0" w:type="dxa"/>
          </w:tblCellMar>
        </w:tblPrEx>
        <w:trPr>
          <w:trHeight w:val="1280" w:hRule="atLeast"/>
        </w:trPr>
        <w:tc>
          <w:tcPr>
            <w:tcW w:w="13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4D87B">
            <w:pPr>
              <w:jc w:val="center"/>
              <w:rPr>
                <w:rFonts w:hint="eastAsia" w:ascii="宋体" w:hAnsi="宋体" w:eastAsia="宋体" w:cs="宋体"/>
                <w:i w:val="0"/>
                <w:color w:val="auto"/>
                <w:sz w:val="28"/>
                <w:szCs w:val="28"/>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6772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上年结转资金</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B1314">
            <w:pPr>
              <w:jc w:val="center"/>
              <w:rPr>
                <w:rFonts w:hint="eastAsia" w:ascii="仿宋_GB2312" w:hAnsi="仿宋_GB2312" w:eastAsia="仿宋_GB2312" w:cs="仿宋_GB2312"/>
                <w:i w:val="0"/>
                <w:color w:val="auto"/>
                <w:sz w:val="32"/>
                <w:szCs w:val="32"/>
                <w:u w:val="none"/>
              </w:rPr>
            </w:pP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160E2">
            <w:pPr>
              <w:jc w:val="center"/>
              <w:rPr>
                <w:rFonts w:hint="eastAsia" w:ascii="仿宋_GB2312" w:hAnsi="仿宋_GB2312" w:eastAsia="仿宋_GB2312" w:cs="仿宋_GB2312"/>
                <w:i w:val="0"/>
                <w:color w:val="auto"/>
                <w:sz w:val="32"/>
                <w:szCs w:val="32"/>
                <w:u w:val="none"/>
              </w:rPr>
            </w:pP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88A2E">
            <w:pPr>
              <w:jc w:val="center"/>
              <w:rPr>
                <w:rFonts w:hint="eastAsia" w:ascii="仿宋_GB2312" w:hAnsi="仿宋_GB2312" w:eastAsia="仿宋_GB2312" w:cs="仿宋_GB2312"/>
                <w:i w:val="0"/>
                <w:color w:val="auto"/>
                <w:sz w:val="32"/>
                <w:szCs w:val="3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3349B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59534">
            <w:pPr>
              <w:jc w:val="center"/>
              <w:rPr>
                <w:rFonts w:hint="eastAsia" w:ascii="仿宋_GB2312" w:hAnsi="仿宋_GB2312" w:eastAsia="仿宋_GB2312" w:cs="仿宋_GB2312"/>
                <w:i w:val="0"/>
                <w:color w:val="auto"/>
                <w:sz w:val="32"/>
                <w:szCs w:val="32"/>
                <w:u w:val="none"/>
              </w:rPr>
            </w:pPr>
          </w:p>
        </w:tc>
        <w:tc>
          <w:tcPr>
            <w:tcW w:w="12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7F9C0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r>
      <w:tr w14:paraId="3D63C6C0">
        <w:tblPrEx>
          <w:tblCellMar>
            <w:top w:w="0" w:type="dxa"/>
            <w:left w:w="0" w:type="dxa"/>
            <w:bottom w:w="0" w:type="dxa"/>
            <w:right w:w="0" w:type="dxa"/>
          </w:tblCellMar>
        </w:tblPrEx>
        <w:trPr>
          <w:trHeight w:val="1280" w:hRule="atLeast"/>
        </w:trPr>
        <w:tc>
          <w:tcPr>
            <w:tcW w:w="13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C4CD3">
            <w:pPr>
              <w:jc w:val="center"/>
              <w:rPr>
                <w:rFonts w:hint="eastAsia" w:ascii="宋体" w:hAnsi="宋体" w:eastAsia="宋体" w:cs="宋体"/>
                <w:i w:val="0"/>
                <w:color w:val="auto"/>
                <w:sz w:val="28"/>
                <w:szCs w:val="28"/>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0546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其他资金</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AAB3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9A7E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C10B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4D87A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7530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12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676DA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r>
      <w:tr w14:paraId="1CC5F6B0">
        <w:tblPrEx>
          <w:tblCellMar>
            <w:top w:w="0" w:type="dxa"/>
            <w:left w:w="0" w:type="dxa"/>
            <w:bottom w:w="0" w:type="dxa"/>
            <w:right w:w="0" w:type="dxa"/>
          </w:tblCellMar>
        </w:tblPrEx>
        <w:trPr>
          <w:trHeight w:val="540" w:hRule="atLeast"/>
        </w:trPr>
        <w:tc>
          <w:tcPr>
            <w:tcW w:w="13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6D74D">
            <w:pPr>
              <w:keepNext w:val="0"/>
              <w:keepLines w:val="0"/>
              <w:widowControl/>
              <w:suppressLineNumbers w:val="0"/>
              <w:jc w:val="center"/>
              <w:textAlignment w:val="center"/>
              <w:rPr>
                <w:rFonts w:hint="eastAsia" w:ascii="宋体" w:hAnsi="宋体" w:eastAsia="宋体" w:cs="宋体"/>
                <w:i w:val="0"/>
                <w:color w:val="auto"/>
                <w:sz w:val="28"/>
                <w:szCs w:val="28"/>
                <w:u w:val="none"/>
              </w:rPr>
            </w:pPr>
            <w:r>
              <w:rPr>
                <w:rFonts w:hint="eastAsia" w:ascii="宋体" w:hAnsi="宋体" w:eastAsia="宋体" w:cs="宋体"/>
                <w:i w:val="0"/>
                <w:color w:val="auto"/>
                <w:kern w:val="0"/>
                <w:sz w:val="28"/>
                <w:szCs w:val="28"/>
                <w:u w:val="none"/>
                <w:lang w:val="en-US" w:eastAsia="zh-CN" w:bidi="ar"/>
              </w:rPr>
              <w:t>年度总体目标</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B41C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预期目标</w:t>
            </w:r>
          </w:p>
        </w:tc>
        <w:tc>
          <w:tcPr>
            <w:tcW w:w="36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32CB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实际完成情况</w:t>
            </w:r>
          </w:p>
        </w:tc>
      </w:tr>
      <w:tr w14:paraId="480C3B81">
        <w:tblPrEx>
          <w:tblCellMar>
            <w:top w:w="0" w:type="dxa"/>
            <w:left w:w="0" w:type="dxa"/>
            <w:bottom w:w="0" w:type="dxa"/>
            <w:right w:w="0" w:type="dxa"/>
          </w:tblCellMar>
        </w:tblPrEx>
        <w:trPr>
          <w:trHeight w:val="5172" w:hRule="atLeast"/>
        </w:trPr>
        <w:tc>
          <w:tcPr>
            <w:tcW w:w="13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038BE">
            <w:pPr>
              <w:jc w:val="center"/>
              <w:rPr>
                <w:rFonts w:hint="eastAsia" w:ascii="宋体" w:hAnsi="宋体" w:eastAsia="宋体" w:cs="宋体"/>
                <w:i w:val="0"/>
                <w:color w:val="auto"/>
                <w:sz w:val="28"/>
                <w:szCs w:val="2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F659D">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内蒙古大兴安岭森林公安局得耳布尔分局认真开展公安工作，提高整体办案水平，开展森林及野生动植物资源的保护，查处破坏森林及野生动植物案件、治安案件等，负责辖区反恐、禁毒等工作。完成承办案件数量，保证破案率达到</w:t>
            </w:r>
            <w:r>
              <w:rPr>
                <w:rFonts w:hint="eastAsia" w:ascii="Times New Roman" w:hAnsi="Times New Roman" w:eastAsia="仿宋_GB2312" w:cs="仿宋_GB2312"/>
                <w:i w:val="0"/>
                <w:color w:val="auto"/>
                <w:kern w:val="0"/>
                <w:sz w:val="32"/>
                <w:szCs w:val="32"/>
                <w:u w:val="none"/>
                <w:lang w:val="en-US" w:eastAsia="zh-CN" w:bidi="ar"/>
              </w:rPr>
              <w:t>85</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r>
              <w:rPr>
                <w:rFonts w:hint="eastAsia" w:ascii="仿宋_GB2312" w:hAnsi="仿宋_GB2312" w:eastAsia="仿宋_GB2312" w:cs="仿宋_GB2312"/>
                <w:i w:val="0"/>
                <w:color w:val="auto"/>
                <w:kern w:val="0"/>
                <w:sz w:val="32"/>
                <w:szCs w:val="32"/>
                <w:u w:val="none"/>
                <w:lang w:val="en-US" w:eastAsia="zh-CN" w:bidi="ar"/>
              </w:rPr>
              <w:t>%，案件立案时长小于</w:t>
            </w: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日，办案业务费执行控制在预算数内，保证群众满意度达到</w:t>
            </w:r>
            <w:r>
              <w:rPr>
                <w:rFonts w:hint="eastAsia" w:ascii="Times New Roman" w:hAnsi="Times New Roman" w:eastAsia="仿宋_GB2312" w:cs="仿宋_GB2312"/>
                <w:i w:val="0"/>
                <w:color w:val="auto"/>
                <w:kern w:val="0"/>
                <w:sz w:val="32"/>
                <w:szCs w:val="32"/>
                <w:u w:val="none"/>
                <w:lang w:val="en-US" w:eastAsia="zh-CN" w:bidi="ar"/>
              </w:rPr>
              <w:t>90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r>
              <w:rPr>
                <w:rFonts w:hint="eastAsia" w:ascii="仿宋_GB2312" w:hAnsi="仿宋_GB2312" w:eastAsia="仿宋_GB2312" w:cs="仿宋_GB2312"/>
                <w:i w:val="0"/>
                <w:color w:val="auto"/>
                <w:kern w:val="0"/>
                <w:sz w:val="32"/>
                <w:szCs w:val="32"/>
                <w:u w:val="none"/>
                <w:lang w:val="en-US" w:eastAsia="zh-CN" w:bidi="ar"/>
              </w:rPr>
              <w:t>%以上，保证办案（业务）经费全部用于执法办案，用以维护辖区社会稳定和治安秩序。</w:t>
            </w:r>
          </w:p>
        </w:tc>
        <w:tc>
          <w:tcPr>
            <w:tcW w:w="36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E28DC">
            <w:pPr>
              <w:keepNext w:val="0"/>
              <w:keepLines w:val="0"/>
              <w:widowControl/>
              <w:suppressLineNumbers w:val="0"/>
              <w:ind w:firstLine="640" w:firstLineChars="200"/>
              <w:jc w:val="both"/>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iCs w:val="0"/>
                <w:color w:val="auto"/>
                <w:sz w:val="32"/>
                <w:szCs w:val="32"/>
              </w:rPr>
              <w:t>我单位严格执行资金管理办法，合理安排资金支出</w:t>
            </w:r>
            <w:r>
              <w:rPr>
                <w:rFonts w:hint="eastAsia" w:ascii="仿宋_GB2312" w:hAnsi="仿宋_GB2312" w:eastAsia="仿宋_GB2312" w:cs="仿宋_GB2312"/>
                <w:i w:val="0"/>
                <w:iCs w:val="0"/>
                <w:color w:val="auto"/>
                <w:sz w:val="32"/>
                <w:szCs w:val="32"/>
                <w:lang w:eastAsia="zh-CN"/>
              </w:rPr>
              <w:t>。</w:t>
            </w:r>
            <w:r>
              <w:rPr>
                <w:rFonts w:hint="eastAsia" w:ascii="Times New Roman" w:hAnsi="Times New Roman" w:eastAsia="仿宋_GB2312" w:cs="仿宋_GB2312"/>
                <w:i w:val="0"/>
                <w:iCs w:val="0"/>
                <w:color w:val="auto"/>
                <w:sz w:val="32"/>
                <w:szCs w:val="32"/>
                <w:lang w:eastAsia="zh-CN"/>
              </w:rPr>
              <w:t>202</w:t>
            </w:r>
            <w:r>
              <w:rPr>
                <w:rFonts w:hint="eastAsia" w:ascii="Times New Roman" w:hAnsi="Times New Roman" w:eastAsia="仿宋_GB2312" w:cs="仿宋_GB2312"/>
                <w:i w:val="0"/>
                <w:iCs w:val="0"/>
                <w:color w:val="auto"/>
                <w:sz w:val="32"/>
                <w:szCs w:val="32"/>
                <w:lang w:val="en-US" w:eastAsia="zh-CN"/>
              </w:rPr>
              <w:t>5</w:t>
            </w:r>
            <w:r>
              <w:rPr>
                <w:rFonts w:hint="eastAsia" w:ascii="仿宋_GB2312" w:hAnsi="仿宋_GB2312" w:eastAsia="仿宋_GB2312" w:cs="仿宋_GB2312"/>
                <w:i w:val="0"/>
                <w:iCs w:val="0"/>
                <w:color w:val="auto"/>
                <w:sz w:val="32"/>
                <w:szCs w:val="32"/>
              </w:rPr>
              <w:t>年办案(业务)</w:t>
            </w:r>
            <w:r>
              <w:rPr>
                <w:rFonts w:hint="eastAsia" w:ascii="仿宋_GB2312" w:hAnsi="仿宋_GB2312" w:eastAsia="仿宋_GB2312" w:cs="仿宋_GB2312"/>
                <w:i w:val="0"/>
                <w:iCs w:val="0"/>
                <w:color w:val="auto"/>
                <w:sz w:val="32"/>
                <w:szCs w:val="32"/>
                <w:lang w:val="en-US" w:eastAsia="zh-CN"/>
              </w:rPr>
              <w:t>经</w:t>
            </w:r>
            <w:r>
              <w:rPr>
                <w:rFonts w:hint="eastAsia" w:ascii="仿宋_GB2312" w:hAnsi="仿宋_GB2312" w:eastAsia="仿宋_GB2312" w:cs="仿宋_GB2312"/>
                <w:i w:val="0"/>
                <w:iCs w:val="0"/>
                <w:color w:val="auto"/>
                <w:sz w:val="32"/>
                <w:szCs w:val="32"/>
              </w:rPr>
              <w:t>费已全部完成支出，持续加大了森林公安执法力度，严厉打击乱砍滥伐、偷砍盗伐等破坏森林及野生动物资源等违法行为，加强了森林防火，维护了社会稳定，确保了森林及野生动物资源安全。截至</w:t>
            </w:r>
            <w:r>
              <w:rPr>
                <w:rFonts w:hint="eastAsia" w:ascii="Times New Roman" w:hAnsi="Times New Roman" w:eastAsia="仿宋_GB2312" w:cs="仿宋_GB2312"/>
                <w:i w:val="0"/>
                <w:iCs w:val="0"/>
                <w:color w:val="auto"/>
                <w:sz w:val="32"/>
                <w:szCs w:val="32"/>
                <w:lang w:eastAsia="zh-CN"/>
              </w:rPr>
              <w:t>202</w:t>
            </w:r>
            <w:r>
              <w:rPr>
                <w:rFonts w:hint="eastAsia" w:ascii="Times New Roman" w:hAnsi="Times New Roman" w:eastAsia="仿宋_GB2312" w:cs="仿宋_GB2312"/>
                <w:i w:val="0"/>
                <w:iCs w:val="0"/>
                <w:color w:val="auto"/>
                <w:sz w:val="32"/>
                <w:szCs w:val="32"/>
                <w:lang w:val="en-US" w:eastAsia="zh-CN"/>
              </w:rPr>
              <w:t>5</w:t>
            </w:r>
            <w:r>
              <w:rPr>
                <w:rFonts w:hint="eastAsia" w:ascii="仿宋_GB2312" w:hAnsi="仿宋_GB2312" w:eastAsia="仿宋_GB2312" w:cs="仿宋_GB2312"/>
                <w:i w:val="0"/>
                <w:iCs w:val="0"/>
                <w:color w:val="auto"/>
                <w:sz w:val="32"/>
                <w:szCs w:val="32"/>
              </w:rPr>
              <w:t>年末，办案（业务）经费项目已完成年度目标和所有绩效指标。</w:t>
            </w:r>
          </w:p>
        </w:tc>
      </w:tr>
      <w:tr w14:paraId="2650F492">
        <w:tblPrEx>
          <w:tblCellMar>
            <w:top w:w="0" w:type="dxa"/>
            <w:left w:w="0" w:type="dxa"/>
            <w:bottom w:w="0" w:type="dxa"/>
            <w:right w:w="0" w:type="dxa"/>
          </w:tblCellMar>
        </w:tblPrEx>
        <w:trPr>
          <w:trHeight w:val="2580"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D2C0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绩效指标</w:t>
            </w:r>
          </w:p>
        </w:tc>
        <w:tc>
          <w:tcPr>
            <w:tcW w:w="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3F9F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一级指标</w:t>
            </w:r>
          </w:p>
        </w:tc>
        <w:tc>
          <w:tcPr>
            <w:tcW w:w="1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6240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二级指标</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4C51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三级指标</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1A3B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指标性质</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EFEC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指标方向</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9817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年度指标值</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2F74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实际完成值</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47B7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计量单位</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4099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分值</w:t>
            </w:r>
          </w:p>
        </w:tc>
        <w:tc>
          <w:tcPr>
            <w:tcW w:w="11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1F15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得分</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DB19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偏差原因分析及改进措施</w:t>
            </w:r>
          </w:p>
        </w:tc>
      </w:tr>
      <w:tr w14:paraId="448D1543">
        <w:tblPrEx>
          <w:tblCellMar>
            <w:top w:w="0" w:type="dxa"/>
            <w:left w:w="0" w:type="dxa"/>
            <w:bottom w:w="0" w:type="dxa"/>
            <w:right w:w="0" w:type="dxa"/>
          </w:tblCellMar>
        </w:tblPrEx>
        <w:trPr>
          <w:trHeight w:val="900" w:hRule="atLeast"/>
        </w:trPr>
        <w:tc>
          <w:tcPr>
            <w:tcW w:w="66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745728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绩效指标</w:t>
            </w:r>
          </w:p>
        </w:tc>
        <w:tc>
          <w:tcPr>
            <w:tcW w:w="66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E60C74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产出指标</w:t>
            </w:r>
          </w:p>
        </w:tc>
        <w:tc>
          <w:tcPr>
            <w:tcW w:w="129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A793E5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数量指标</w:t>
            </w: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DB66D1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办案出差次数</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9CC45A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正向</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A858A9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大于等于</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2A677D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1ADA9E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A9B0AB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次</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10B08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EAEED0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39E8AA6">
            <w:pPr>
              <w:jc w:val="center"/>
              <w:rPr>
                <w:rFonts w:hint="eastAsia" w:ascii="仿宋_GB2312" w:hAnsi="仿宋_GB2312" w:eastAsia="仿宋_GB2312" w:cs="仿宋_GB2312"/>
                <w:i w:val="0"/>
                <w:color w:val="auto"/>
                <w:sz w:val="32"/>
                <w:szCs w:val="32"/>
                <w:u w:val="none"/>
              </w:rPr>
            </w:pPr>
          </w:p>
        </w:tc>
      </w:tr>
      <w:tr w14:paraId="18DB7342">
        <w:tblPrEx>
          <w:tblCellMar>
            <w:top w:w="0" w:type="dxa"/>
            <w:left w:w="0" w:type="dxa"/>
            <w:bottom w:w="0" w:type="dxa"/>
            <w:right w:w="0" w:type="dxa"/>
          </w:tblCellMar>
        </w:tblPrEx>
        <w:trPr>
          <w:trHeight w:val="900" w:hRule="atLeast"/>
        </w:trPr>
        <w:tc>
          <w:tcPr>
            <w:tcW w:w="66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27BAB22">
            <w:pPr>
              <w:jc w:val="center"/>
              <w:rPr>
                <w:rFonts w:hint="eastAsia" w:ascii="仿宋_GB2312" w:hAnsi="仿宋_GB2312" w:eastAsia="仿宋_GB2312" w:cs="仿宋_GB2312"/>
                <w:i w:val="0"/>
                <w:color w:val="auto"/>
                <w:sz w:val="32"/>
                <w:szCs w:val="32"/>
                <w:u w:val="none"/>
              </w:rPr>
            </w:pPr>
          </w:p>
        </w:tc>
        <w:tc>
          <w:tcPr>
            <w:tcW w:w="6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3CB9D39">
            <w:pPr>
              <w:jc w:val="center"/>
              <w:rPr>
                <w:rFonts w:hint="eastAsia" w:ascii="仿宋_GB2312" w:hAnsi="仿宋_GB2312" w:eastAsia="仿宋_GB2312" w:cs="仿宋_GB2312"/>
                <w:i w:val="0"/>
                <w:color w:val="auto"/>
                <w:sz w:val="32"/>
                <w:szCs w:val="32"/>
                <w:u w:val="none"/>
              </w:rPr>
            </w:pPr>
          </w:p>
        </w:tc>
        <w:tc>
          <w:tcPr>
            <w:tcW w:w="129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0BB3AB2">
            <w:pPr>
              <w:jc w:val="center"/>
              <w:rPr>
                <w:rFonts w:hint="eastAsia" w:ascii="仿宋_GB2312" w:hAnsi="仿宋_GB2312" w:eastAsia="仿宋_GB2312" w:cs="仿宋_GB2312"/>
                <w:i w:val="0"/>
                <w:color w:val="auto"/>
                <w:sz w:val="32"/>
                <w:szCs w:val="32"/>
                <w:u w:val="none"/>
              </w:rPr>
            </w:pP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A55807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承办案件数量</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6D2093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正向</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7B11E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大于等于</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DB7853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22B26F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D9B5DA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起</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75EC7D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88E331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302FB75">
            <w:pPr>
              <w:jc w:val="center"/>
              <w:rPr>
                <w:rFonts w:hint="eastAsia" w:ascii="仿宋_GB2312" w:hAnsi="仿宋_GB2312" w:eastAsia="仿宋_GB2312" w:cs="仿宋_GB2312"/>
                <w:i w:val="0"/>
                <w:color w:val="auto"/>
                <w:sz w:val="32"/>
                <w:szCs w:val="32"/>
                <w:u w:val="none"/>
              </w:rPr>
            </w:pPr>
          </w:p>
        </w:tc>
      </w:tr>
      <w:tr w14:paraId="18462519">
        <w:tblPrEx>
          <w:shd w:val="clear" w:color="auto" w:fill="auto"/>
          <w:tblCellMar>
            <w:top w:w="0" w:type="dxa"/>
            <w:left w:w="0" w:type="dxa"/>
            <w:bottom w:w="0" w:type="dxa"/>
            <w:right w:w="0" w:type="dxa"/>
          </w:tblCellMar>
        </w:tblPrEx>
        <w:trPr>
          <w:trHeight w:val="900" w:hRule="atLeast"/>
        </w:trPr>
        <w:tc>
          <w:tcPr>
            <w:tcW w:w="66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4F198CA">
            <w:pPr>
              <w:jc w:val="center"/>
              <w:rPr>
                <w:rFonts w:hint="eastAsia" w:ascii="仿宋_GB2312" w:hAnsi="仿宋_GB2312" w:eastAsia="仿宋_GB2312" w:cs="仿宋_GB2312"/>
                <w:i w:val="0"/>
                <w:color w:val="auto"/>
                <w:sz w:val="32"/>
                <w:szCs w:val="32"/>
                <w:u w:val="none"/>
              </w:rPr>
            </w:pPr>
          </w:p>
        </w:tc>
        <w:tc>
          <w:tcPr>
            <w:tcW w:w="6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6E133A9">
            <w:pPr>
              <w:jc w:val="center"/>
              <w:rPr>
                <w:rFonts w:hint="eastAsia" w:ascii="仿宋_GB2312" w:hAnsi="仿宋_GB2312" w:eastAsia="仿宋_GB2312" w:cs="仿宋_GB2312"/>
                <w:i w:val="0"/>
                <w:color w:val="auto"/>
                <w:sz w:val="32"/>
                <w:szCs w:val="32"/>
                <w:u w:val="none"/>
              </w:rPr>
            </w:pPr>
          </w:p>
        </w:tc>
        <w:tc>
          <w:tcPr>
            <w:tcW w:w="129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4F8C41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质量指标</w:t>
            </w: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3EE17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案件侦破率</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67DE37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正向</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4FDE32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大于等于</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10B0E5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85</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55CAF3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85</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AABA3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037455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A69C3D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00F1337">
            <w:pPr>
              <w:jc w:val="center"/>
              <w:rPr>
                <w:rFonts w:hint="eastAsia" w:ascii="仿宋_GB2312" w:hAnsi="仿宋_GB2312" w:eastAsia="仿宋_GB2312" w:cs="仿宋_GB2312"/>
                <w:i w:val="0"/>
                <w:color w:val="auto"/>
                <w:sz w:val="32"/>
                <w:szCs w:val="32"/>
                <w:u w:val="none"/>
              </w:rPr>
            </w:pPr>
          </w:p>
        </w:tc>
      </w:tr>
      <w:tr w14:paraId="306AAD47">
        <w:tblPrEx>
          <w:tblCellMar>
            <w:top w:w="0" w:type="dxa"/>
            <w:left w:w="0" w:type="dxa"/>
            <w:bottom w:w="0" w:type="dxa"/>
            <w:right w:w="0" w:type="dxa"/>
          </w:tblCellMar>
        </w:tblPrEx>
        <w:trPr>
          <w:trHeight w:val="1380" w:hRule="atLeast"/>
        </w:trPr>
        <w:tc>
          <w:tcPr>
            <w:tcW w:w="66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FDBDF5">
            <w:pPr>
              <w:jc w:val="center"/>
              <w:rPr>
                <w:rFonts w:hint="eastAsia" w:ascii="仿宋_GB2312" w:hAnsi="仿宋_GB2312" w:eastAsia="仿宋_GB2312" w:cs="仿宋_GB2312"/>
                <w:i w:val="0"/>
                <w:color w:val="auto"/>
                <w:sz w:val="32"/>
                <w:szCs w:val="32"/>
                <w:u w:val="none"/>
              </w:rPr>
            </w:pPr>
          </w:p>
        </w:tc>
        <w:tc>
          <w:tcPr>
            <w:tcW w:w="6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94203EE">
            <w:pPr>
              <w:jc w:val="center"/>
              <w:rPr>
                <w:rFonts w:hint="eastAsia" w:ascii="仿宋_GB2312" w:hAnsi="仿宋_GB2312" w:eastAsia="仿宋_GB2312" w:cs="仿宋_GB2312"/>
                <w:i w:val="0"/>
                <w:color w:val="auto"/>
                <w:sz w:val="32"/>
                <w:szCs w:val="32"/>
                <w:u w:val="none"/>
              </w:rPr>
            </w:pPr>
          </w:p>
        </w:tc>
        <w:tc>
          <w:tcPr>
            <w:tcW w:w="129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C17F4E">
            <w:pPr>
              <w:jc w:val="center"/>
              <w:rPr>
                <w:rFonts w:hint="eastAsia" w:ascii="仿宋_GB2312" w:hAnsi="仿宋_GB2312" w:eastAsia="仿宋_GB2312" w:cs="仿宋_GB2312"/>
                <w:i w:val="0"/>
                <w:color w:val="auto"/>
                <w:sz w:val="32"/>
                <w:szCs w:val="32"/>
                <w:u w:val="none"/>
              </w:rPr>
            </w:pP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3C6988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案件线索核查率</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48626A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正向</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A396A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等于</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B6D6C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9AB9E4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9BFFAA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CC83E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23568D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C2E04F3">
            <w:pPr>
              <w:jc w:val="center"/>
              <w:rPr>
                <w:rFonts w:hint="eastAsia" w:ascii="仿宋_GB2312" w:hAnsi="仿宋_GB2312" w:eastAsia="仿宋_GB2312" w:cs="仿宋_GB2312"/>
                <w:i w:val="0"/>
                <w:color w:val="auto"/>
                <w:sz w:val="32"/>
                <w:szCs w:val="32"/>
                <w:u w:val="none"/>
              </w:rPr>
            </w:pPr>
          </w:p>
        </w:tc>
      </w:tr>
      <w:tr w14:paraId="6FA72CE9">
        <w:tblPrEx>
          <w:tblCellMar>
            <w:top w:w="0" w:type="dxa"/>
            <w:left w:w="0" w:type="dxa"/>
            <w:bottom w:w="0" w:type="dxa"/>
            <w:right w:w="0" w:type="dxa"/>
          </w:tblCellMar>
        </w:tblPrEx>
        <w:trPr>
          <w:trHeight w:val="1380" w:hRule="atLeast"/>
        </w:trPr>
        <w:tc>
          <w:tcPr>
            <w:tcW w:w="66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2D09B4A">
            <w:pPr>
              <w:jc w:val="center"/>
              <w:rPr>
                <w:rFonts w:hint="eastAsia" w:ascii="仿宋_GB2312" w:hAnsi="仿宋_GB2312" w:eastAsia="仿宋_GB2312" w:cs="仿宋_GB2312"/>
                <w:i w:val="0"/>
                <w:color w:val="auto"/>
                <w:sz w:val="32"/>
                <w:szCs w:val="32"/>
                <w:u w:val="none"/>
              </w:rPr>
            </w:pPr>
          </w:p>
        </w:tc>
        <w:tc>
          <w:tcPr>
            <w:tcW w:w="6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A79DD7C">
            <w:pPr>
              <w:jc w:val="center"/>
              <w:rPr>
                <w:rFonts w:hint="eastAsia" w:ascii="仿宋_GB2312" w:hAnsi="仿宋_GB2312" w:eastAsia="仿宋_GB2312" w:cs="仿宋_GB2312"/>
                <w:i w:val="0"/>
                <w:color w:val="auto"/>
                <w:sz w:val="32"/>
                <w:szCs w:val="32"/>
                <w:u w:val="none"/>
              </w:rPr>
            </w:pPr>
          </w:p>
        </w:tc>
        <w:tc>
          <w:tcPr>
            <w:tcW w:w="129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BB4337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时效指标</w:t>
            </w: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EC26D3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案件立案平均时长</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D4958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反向</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284378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小于等于</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68A18D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15CB03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84BD58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日</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8EEB48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226FA5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19FA17">
            <w:pPr>
              <w:jc w:val="center"/>
              <w:rPr>
                <w:rFonts w:hint="eastAsia" w:ascii="仿宋_GB2312" w:hAnsi="仿宋_GB2312" w:eastAsia="仿宋_GB2312" w:cs="仿宋_GB2312"/>
                <w:i w:val="0"/>
                <w:color w:val="auto"/>
                <w:sz w:val="32"/>
                <w:szCs w:val="32"/>
                <w:u w:val="none"/>
              </w:rPr>
            </w:pPr>
          </w:p>
        </w:tc>
      </w:tr>
      <w:tr w14:paraId="2560E768">
        <w:tblPrEx>
          <w:tblCellMar>
            <w:top w:w="0" w:type="dxa"/>
            <w:left w:w="0" w:type="dxa"/>
            <w:bottom w:w="0" w:type="dxa"/>
            <w:right w:w="0" w:type="dxa"/>
          </w:tblCellMar>
        </w:tblPrEx>
        <w:trPr>
          <w:trHeight w:val="900" w:hRule="atLeast"/>
        </w:trPr>
        <w:tc>
          <w:tcPr>
            <w:tcW w:w="66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2ED943B">
            <w:pPr>
              <w:jc w:val="center"/>
              <w:rPr>
                <w:rFonts w:hint="eastAsia" w:ascii="仿宋_GB2312" w:hAnsi="仿宋_GB2312" w:eastAsia="仿宋_GB2312" w:cs="仿宋_GB2312"/>
                <w:i w:val="0"/>
                <w:color w:val="auto"/>
                <w:sz w:val="32"/>
                <w:szCs w:val="32"/>
                <w:u w:val="none"/>
              </w:rPr>
            </w:pPr>
          </w:p>
        </w:tc>
        <w:tc>
          <w:tcPr>
            <w:tcW w:w="6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E38DF58">
            <w:pPr>
              <w:jc w:val="center"/>
              <w:rPr>
                <w:rFonts w:hint="eastAsia" w:ascii="仿宋_GB2312" w:hAnsi="仿宋_GB2312" w:eastAsia="仿宋_GB2312" w:cs="仿宋_GB2312"/>
                <w:i w:val="0"/>
                <w:color w:val="auto"/>
                <w:sz w:val="32"/>
                <w:szCs w:val="32"/>
                <w:u w:val="none"/>
              </w:rPr>
            </w:pPr>
          </w:p>
        </w:tc>
        <w:tc>
          <w:tcPr>
            <w:tcW w:w="129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B63B5E0">
            <w:pPr>
              <w:jc w:val="center"/>
              <w:rPr>
                <w:rFonts w:hint="eastAsia" w:ascii="仿宋_GB2312" w:hAnsi="仿宋_GB2312" w:eastAsia="仿宋_GB2312" w:cs="仿宋_GB2312"/>
                <w:i w:val="0"/>
                <w:color w:val="auto"/>
                <w:sz w:val="32"/>
                <w:szCs w:val="32"/>
                <w:u w:val="none"/>
              </w:rPr>
            </w:pP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7A16E1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结案时间</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DBDD08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反向</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F06E6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小于等于</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78D41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30</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965FDD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30</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4B841C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日</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B796CD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7B7710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1F6183">
            <w:pPr>
              <w:jc w:val="center"/>
              <w:rPr>
                <w:rFonts w:hint="eastAsia" w:ascii="仿宋_GB2312" w:hAnsi="仿宋_GB2312" w:eastAsia="仿宋_GB2312" w:cs="仿宋_GB2312"/>
                <w:i w:val="0"/>
                <w:color w:val="auto"/>
                <w:sz w:val="32"/>
                <w:szCs w:val="32"/>
                <w:u w:val="none"/>
              </w:rPr>
            </w:pPr>
          </w:p>
        </w:tc>
      </w:tr>
      <w:tr w14:paraId="76FC4193">
        <w:tblPrEx>
          <w:tblCellMar>
            <w:top w:w="0" w:type="dxa"/>
            <w:left w:w="0" w:type="dxa"/>
            <w:bottom w:w="0" w:type="dxa"/>
            <w:right w:w="0" w:type="dxa"/>
          </w:tblCellMar>
        </w:tblPrEx>
        <w:trPr>
          <w:trHeight w:val="900" w:hRule="atLeast"/>
        </w:trPr>
        <w:tc>
          <w:tcPr>
            <w:tcW w:w="66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C1A88FA">
            <w:pPr>
              <w:jc w:val="center"/>
              <w:rPr>
                <w:rFonts w:hint="eastAsia" w:ascii="仿宋_GB2312" w:hAnsi="仿宋_GB2312" w:eastAsia="仿宋_GB2312" w:cs="仿宋_GB2312"/>
                <w:i w:val="0"/>
                <w:color w:val="auto"/>
                <w:sz w:val="32"/>
                <w:szCs w:val="32"/>
                <w:u w:val="none"/>
              </w:rPr>
            </w:pPr>
          </w:p>
        </w:tc>
        <w:tc>
          <w:tcPr>
            <w:tcW w:w="6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1A1DF46">
            <w:pPr>
              <w:jc w:val="center"/>
              <w:rPr>
                <w:rFonts w:hint="eastAsia" w:ascii="仿宋_GB2312" w:hAnsi="仿宋_GB2312" w:eastAsia="仿宋_GB2312" w:cs="仿宋_GB2312"/>
                <w:i w:val="0"/>
                <w:color w:val="auto"/>
                <w:sz w:val="32"/>
                <w:szCs w:val="32"/>
                <w:u w:val="none"/>
              </w:rPr>
            </w:pPr>
          </w:p>
        </w:tc>
        <w:tc>
          <w:tcPr>
            <w:tcW w:w="129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410FE6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成本指标</w:t>
            </w: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8BCA3D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差旅费成本</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914F48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反向</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D96F0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小于等于</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22749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400DDE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899CA3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万元</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CA5164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FCB99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C259B14">
            <w:pPr>
              <w:jc w:val="center"/>
              <w:rPr>
                <w:rFonts w:hint="eastAsia" w:ascii="仿宋_GB2312" w:hAnsi="仿宋_GB2312" w:eastAsia="仿宋_GB2312" w:cs="仿宋_GB2312"/>
                <w:i w:val="0"/>
                <w:color w:val="auto"/>
                <w:sz w:val="32"/>
                <w:szCs w:val="32"/>
                <w:u w:val="none"/>
              </w:rPr>
            </w:pPr>
          </w:p>
        </w:tc>
      </w:tr>
      <w:tr w14:paraId="43C473EB">
        <w:tblPrEx>
          <w:tblCellMar>
            <w:top w:w="0" w:type="dxa"/>
            <w:left w:w="0" w:type="dxa"/>
            <w:bottom w:w="0" w:type="dxa"/>
            <w:right w:w="0" w:type="dxa"/>
          </w:tblCellMar>
        </w:tblPrEx>
        <w:trPr>
          <w:trHeight w:val="900" w:hRule="atLeast"/>
        </w:trPr>
        <w:tc>
          <w:tcPr>
            <w:tcW w:w="66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4B2DA96">
            <w:pPr>
              <w:jc w:val="center"/>
              <w:rPr>
                <w:rFonts w:hint="eastAsia" w:ascii="宋体" w:hAnsi="宋体" w:eastAsia="宋体" w:cs="宋体"/>
                <w:i w:val="0"/>
                <w:color w:val="auto"/>
                <w:sz w:val="28"/>
                <w:szCs w:val="28"/>
                <w:u w:val="none"/>
              </w:rPr>
            </w:pPr>
          </w:p>
        </w:tc>
        <w:tc>
          <w:tcPr>
            <w:tcW w:w="6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D759EC1">
            <w:pPr>
              <w:jc w:val="center"/>
              <w:rPr>
                <w:rFonts w:hint="eastAsia" w:ascii="宋体" w:hAnsi="宋体" w:eastAsia="宋体" w:cs="宋体"/>
                <w:i w:val="0"/>
                <w:color w:val="auto"/>
                <w:sz w:val="28"/>
                <w:szCs w:val="28"/>
                <w:u w:val="none"/>
              </w:rPr>
            </w:pPr>
          </w:p>
        </w:tc>
        <w:tc>
          <w:tcPr>
            <w:tcW w:w="129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423C1E3">
            <w:pPr>
              <w:jc w:val="center"/>
              <w:rPr>
                <w:rFonts w:hint="eastAsia" w:ascii="仿宋_GB2312" w:hAnsi="仿宋_GB2312" w:eastAsia="仿宋_GB2312" w:cs="仿宋_GB2312"/>
                <w:i w:val="0"/>
                <w:color w:val="auto"/>
                <w:sz w:val="32"/>
                <w:szCs w:val="32"/>
                <w:u w:val="none"/>
              </w:rPr>
            </w:pP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732B45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案件侦办成本</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79C75A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反向</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BB6541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小于等于</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EE336A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15</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6B1FA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15</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D74F0E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万元</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01E59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CA7B0B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CCB9841">
            <w:pPr>
              <w:jc w:val="center"/>
              <w:rPr>
                <w:rFonts w:hint="eastAsia" w:ascii="仿宋_GB2312" w:hAnsi="仿宋_GB2312" w:eastAsia="仿宋_GB2312" w:cs="仿宋_GB2312"/>
                <w:i w:val="0"/>
                <w:color w:val="auto"/>
                <w:sz w:val="32"/>
                <w:szCs w:val="32"/>
                <w:u w:val="none"/>
              </w:rPr>
            </w:pPr>
          </w:p>
        </w:tc>
      </w:tr>
      <w:tr w14:paraId="3B20BAF5">
        <w:tblPrEx>
          <w:shd w:val="clear" w:color="auto" w:fill="auto"/>
          <w:tblCellMar>
            <w:top w:w="0" w:type="dxa"/>
            <w:left w:w="0" w:type="dxa"/>
            <w:bottom w:w="0" w:type="dxa"/>
            <w:right w:w="0" w:type="dxa"/>
          </w:tblCellMar>
        </w:tblPrEx>
        <w:trPr>
          <w:trHeight w:val="1680" w:hRule="atLeast"/>
        </w:trPr>
        <w:tc>
          <w:tcPr>
            <w:tcW w:w="66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B378F1">
            <w:pPr>
              <w:jc w:val="center"/>
              <w:rPr>
                <w:rFonts w:hint="eastAsia" w:ascii="宋体" w:hAnsi="宋体" w:eastAsia="宋体" w:cs="宋体"/>
                <w:i w:val="0"/>
                <w:color w:val="auto"/>
                <w:sz w:val="28"/>
                <w:szCs w:val="28"/>
                <w:u w:val="none"/>
              </w:rPr>
            </w:pPr>
          </w:p>
        </w:tc>
        <w:tc>
          <w:tcPr>
            <w:tcW w:w="66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92CD431">
            <w:pPr>
              <w:keepNext w:val="0"/>
              <w:keepLines w:val="0"/>
              <w:widowControl/>
              <w:suppressLineNumbers w:val="0"/>
              <w:jc w:val="center"/>
              <w:textAlignment w:val="center"/>
              <w:rPr>
                <w:rFonts w:hint="eastAsia" w:ascii="宋体" w:hAnsi="宋体" w:eastAsia="宋体" w:cs="宋体"/>
                <w:i w:val="0"/>
                <w:color w:val="auto"/>
                <w:sz w:val="28"/>
                <w:szCs w:val="28"/>
                <w:u w:val="none"/>
              </w:rPr>
            </w:pPr>
            <w:r>
              <w:rPr>
                <w:rFonts w:hint="eastAsia" w:ascii="宋体" w:hAnsi="宋体" w:eastAsia="宋体" w:cs="宋体"/>
                <w:i w:val="0"/>
                <w:color w:val="auto"/>
                <w:kern w:val="0"/>
                <w:sz w:val="28"/>
                <w:szCs w:val="28"/>
                <w:u w:val="none"/>
                <w:lang w:val="en-US" w:eastAsia="zh-CN" w:bidi="ar"/>
              </w:rPr>
              <w:t>效益指标</w:t>
            </w:r>
          </w:p>
        </w:tc>
        <w:tc>
          <w:tcPr>
            <w:tcW w:w="12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6E803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社会效益指标</w:t>
            </w: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BB42ED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维护辖区社会治安秩序稳定</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8C075F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定性</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885A66">
            <w:pPr>
              <w:jc w:val="center"/>
              <w:rPr>
                <w:rFonts w:hint="eastAsia" w:ascii="仿宋_GB2312" w:hAnsi="仿宋_GB2312" w:eastAsia="仿宋_GB2312" w:cs="仿宋_GB2312"/>
                <w:i w:val="0"/>
                <w:color w:val="auto"/>
                <w:sz w:val="32"/>
                <w:szCs w:val="32"/>
                <w:u w:val="none"/>
              </w:rPr>
            </w:pP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48FE4E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有效维护</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C8C6EB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有效维护</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FC3BF93">
            <w:pPr>
              <w:jc w:val="center"/>
              <w:rPr>
                <w:rFonts w:hint="eastAsia" w:ascii="仿宋_GB2312" w:hAnsi="仿宋_GB2312" w:eastAsia="仿宋_GB2312" w:cs="仿宋_GB2312"/>
                <w:i w:val="0"/>
                <w:color w:val="auto"/>
                <w:sz w:val="32"/>
                <w:szCs w:val="32"/>
                <w:u w:val="none"/>
              </w:rPr>
            </w:pP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EF589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58CED7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9540E6D">
            <w:pPr>
              <w:jc w:val="center"/>
              <w:rPr>
                <w:rFonts w:hint="eastAsia" w:ascii="仿宋_GB2312" w:hAnsi="仿宋_GB2312" w:eastAsia="仿宋_GB2312" w:cs="仿宋_GB2312"/>
                <w:i w:val="0"/>
                <w:color w:val="auto"/>
                <w:sz w:val="32"/>
                <w:szCs w:val="32"/>
                <w:u w:val="none"/>
              </w:rPr>
            </w:pPr>
          </w:p>
        </w:tc>
      </w:tr>
      <w:tr w14:paraId="3B76B6C9">
        <w:tblPrEx>
          <w:shd w:val="clear" w:color="auto" w:fill="auto"/>
          <w:tblCellMar>
            <w:top w:w="0" w:type="dxa"/>
            <w:left w:w="0" w:type="dxa"/>
            <w:bottom w:w="0" w:type="dxa"/>
            <w:right w:w="0" w:type="dxa"/>
          </w:tblCellMar>
        </w:tblPrEx>
        <w:trPr>
          <w:trHeight w:val="1680" w:hRule="atLeast"/>
        </w:trPr>
        <w:tc>
          <w:tcPr>
            <w:tcW w:w="66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496365D">
            <w:pPr>
              <w:jc w:val="center"/>
              <w:rPr>
                <w:rFonts w:hint="eastAsia" w:ascii="宋体" w:hAnsi="宋体" w:eastAsia="宋体" w:cs="宋体"/>
                <w:i w:val="0"/>
                <w:color w:val="auto"/>
                <w:sz w:val="28"/>
                <w:szCs w:val="28"/>
                <w:u w:val="none"/>
              </w:rPr>
            </w:pPr>
          </w:p>
        </w:tc>
        <w:tc>
          <w:tcPr>
            <w:tcW w:w="6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451FDC">
            <w:pPr>
              <w:jc w:val="center"/>
              <w:rPr>
                <w:rFonts w:hint="eastAsia" w:ascii="宋体" w:hAnsi="宋体" w:eastAsia="宋体" w:cs="宋体"/>
                <w:i w:val="0"/>
                <w:color w:val="auto"/>
                <w:sz w:val="28"/>
                <w:szCs w:val="28"/>
                <w:u w:val="none"/>
              </w:rPr>
            </w:pPr>
          </w:p>
        </w:tc>
        <w:tc>
          <w:tcPr>
            <w:tcW w:w="12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FA0BB8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生态效益指标</w:t>
            </w: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AD229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加强野生动植物资源保护</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4C5A1C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定性</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5C28509">
            <w:pPr>
              <w:jc w:val="center"/>
              <w:rPr>
                <w:rFonts w:hint="eastAsia" w:ascii="仿宋_GB2312" w:hAnsi="仿宋_GB2312" w:eastAsia="仿宋_GB2312" w:cs="仿宋_GB2312"/>
                <w:i w:val="0"/>
                <w:color w:val="auto"/>
                <w:sz w:val="32"/>
                <w:szCs w:val="32"/>
                <w:u w:val="none"/>
              </w:rPr>
            </w:pP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C1E8BA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有效加强</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39F9DF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有效加强</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3BA7DC7">
            <w:pPr>
              <w:jc w:val="center"/>
              <w:rPr>
                <w:rFonts w:hint="eastAsia" w:ascii="仿宋_GB2312" w:hAnsi="仿宋_GB2312" w:eastAsia="仿宋_GB2312" w:cs="仿宋_GB2312"/>
                <w:i w:val="0"/>
                <w:color w:val="auto"/>
                <w:sz w:val="32"/>
                <w:szCs w:val="32"/>
                <w:u w:val="none"/>
              </w:rPr>
            </w:pP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1A04D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A223DA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22DD8FC">
            <w:pPr>
              <w:jc w:val="center"/>
              <w:rPr>
                <w:rFonts w:hint="eastAsia" w:ascii="仿宋_GB2312" w:hAnsi="仿宋_GB2312" w:eastAsia="仿宋_GB2312" w:cs="仿宋_GB2312"/>
                <w:i w:val="0"/>
                <w:color w:val="auto"/>
                <w:sz w:val="32"/>
                <w:szCs w:val="32"/>
                <w:u w:val="none"/>
              </w:rPr>
            </w:pPr>
          </w:p>
        </w:tc>
      </w:tr>
      <w:tr w14:paraId="47CD6D91">
        <w:tblPrEx>
          <w:tblCellMar>
            <w:top w:w="0" w:type="dxa"/>
            <w:left w:w="0" w:type="dxa"/>
            <w:bottom w:w="0" w:type="dxa"/>
            <w:right w:w="0" w:type="dxa"/>
          </w:tblCellMar>
        </w:tblPrEx>
        <w:trPr>
          <w:trHeight w:val="1680" w:hRule="atLeast"/>
        </w:trPr>
        <w:tc>
          <w:tcPr>
            <w:tcW w:w="66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ACC79AF">
            <w:pPr>
              <w:jc w:val="center"/>
              <w:rPr>
                <w:rFonts w:hint="eastAsia" w:ascii="宋体" w:hAnsi="宋体" w:eastAsia="宋体" w:cs="宋体"/>
                <w:i w:val="0"/>
                <w:color w:val="auto"/>
                <w:sz w:val="28"/>
                <w:szCs w:val="28"/>
                <w:u w:val="none"/>
              </w:rPr>
            </w:pPr>
          </w:p>
        </w:tc>
        <w:tc>
          <w:tcPr>
            <w:tcW w:w="6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3B84E54">
            <w:pPr>
              <w:jc w:val="center"/>
              <w:rPr>
                <w:rFonts w:hint="eastAsia" w:ascii="宋体" w:hAnsi="宋体" w:eastAsia="宋体" w:cs="宋体"/>
                <w:i w:val="0"/>
                <w:color w:val="auto"/>
                <w:sz w:val="28"/>
                <w:szCs w:val="28"/>
                <w:u w:val="none"/>
              </w:rPr>
            </w:pPr>
          </w:p>
        </w:tc>
        <w:tc>
          <w:tcPr>
            <w:tcW w:w="12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013D54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可持续影响指标</w:t>
            </w: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234B2E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持续健全社会治安防控体系</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C1AF8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定性</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6749B3">
            <w:pPr>
              <w:jc w:val="center"/>
              <w:rPr>
                <w:rFonts w:hint="eastAsia" w:ascii="仿宋_GB2312" w:hAnsi="仿宋_GB2312" w:eastAsia="仿宋_GB2312" w:cs="仿宋_GB2312"/>
                <w:i w:val="0"/>
                <w:color w:val="auto"/>
                <w:sz w:val="32"/>
                <w:szCs w:val="32"/>
                <w:u w:val="none"/>
              </w:rPr>
            </w:pP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6B93F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持续健全</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B5A228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持续健全</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CD6321">
            <w:pPr>
              <w:jc w:val="center"/>
              <w:rPr>
                <w:rFonts w:hint="eastAsia" w:ascii="仿宋_GB2312" w:hAnsi="仿宋_GB2312" w:eastAsia="仿宋_GB2312" w:cs="仿宋_GB2312"/>
                <w:i w:val="0"/>
                <w:color w:val="auto"/>
                <w:sz w:val="32"/>
                <w:szCs w:val="32"/>
                <w:u w:val="none"/>
              </w:rPr>
            </w:pP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FB8AB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BEEFBE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52DBC66">
            <w:pPr>
              <w:jc w:val="center"/>
              <w:rPr>
                <w:rFonts w:hint="eastAsia" w:ascii="仿宋_GB2312" w:hAnsi="仿宋_GB2312" w:eastAsia="仿宋_GB2312" w:cs="仿宋_GB2312"/>
                <w:i w:val="0"/>
                <w:color w:val="auto"/>
                <w:sz w:val="32"/>
                <w:szCs w:val="32"/>
                <w:u w:val="none"/>
              </w:rPr>
            </w:pPr>
          </w:p>
        </w:tc>
      </w:tr>
      <w:tr w14:paraId="2D6E91AB">
        <w:tblPrEx>
          <w:tblCellMar>
            <w:top w:w="0" w:type="dxa"/>
            <w:left w:w="0" w:type="dxa"/>
            <w:bottom w:w="0" w:type="dxa"/>
            <w:right w:w="0" w:type="dxa"/>
          </w:tblCellMar>
        </w:tblPrEx>
        <w:trPr>
          <w:trHeight w:val="2220" w:hRule="atLeast"/>
        </w:trPr>
        <w:tc>
          <w:tcPr>
            <w:tcW w:w="66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A0E4EB6">
            <w:pPr>
              <w:jc w:val="center"/>
              <w:rPr>
                <w:rFonts w:hint="eastAsia" w:ascii="宋体" w:hAnsi="宋体" w:eastAsia="宋体" w:cs="宋体"/>
                <w:i w:val="0"/>
                <w:color w:val="auto"/>
                <w:sz w:val="28"/>
                <w:szCs w:val="28"/>
                <w:u w:val="none"/>
              </w:rPr>
            </w:pPr>
          </w:p>
        </w:tc>
        <w:tc>
          <w:tcPr>
            <w:tcW w:w="6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793755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满意度指标</w:t>
            </w:r>
          </w:p>
        </w:tc>
        <w:tc>
          <w:tcPr>
            <w:tcW w:w="12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5B2A7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服务对象满意度指标</w:t>
            </w:r>
          </w:p>
        </w:tc>
        <w:tc>
          <w:tcPr>
            <w:tcW w:w="10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B70F09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案件办理人员满意度</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D2DBFF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正向</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B875A2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大于等于</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131D09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90</w:t>
            </w:r>
          </w:p>
        </w:tc>
        <w:tc>
          <w:tcPr>
            <w:tcW w:w="5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31694C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ABC7B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5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0CCFF1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114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407169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661203">
            <w:pPr>
              <w:jc w:val="center"/>
              <w:rPr>
                <w:rFonts w:hint="eastAsia" w:ascii="仿宋_GB2312" w:hAnsi="仿宋_GB2312" w:eastAsia="仿宋_GB2312" w:cs="仿宋_GB2312"/>
                <w:i w:val="0"/>
                <w:color w:val="auto"/>
                <w:sz w:val="32"/>
                <w:szCs w:val="32"/>
                <w:u w:val="none"/>
              </w:rPr>
            </w:pPr>
          </w:p>
        </w:tc>
      </w:tr>
      <w:tr w14:paraId="15CFA4F3">
        <w:tblPrEx>
          <w:tblCellMar>
            <w:top w:w="0" w:type="dxa"/>
            <w:left w:w="0" w:type="dxa"/>
            <w:bottom w:w="0" w:type="dxa"/>
            <w:right w:w="0" w:type="dxa"/>
          </w:tblCellMar>
        </w:tblPrEx>
        <w:trPr>
          <w:trHeight w:val="680" w:hRule="atLeast"/>
        </w:trPr>
        <w:tc>
          <w:tcPr>
            <w:tcW w:w="643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B089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总分</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4D3A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p>
        </w:tc>
        <w:tc>
          <w:tcPr>
            <w:tcW w:w="11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A124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E558E">
            <w:pPr>
              <w:jc w:val="center"/>
              <w:rPr>
                <w:rFonts w:hint="eastAsia" w:ascii="仿宋_GB2312" w:hAnsi="仿宋_GB2312" w:eastAsia="仿宋_GB2312" w:cs="仿宋_GB2312"/>
                <w:i w:val="0"/>
                <w:color w:val="auto"/>
                <w:sz w:val="32"/>
                <w:szCs w:val="32"/>
                <w:u w:val="none"/>
              </w:rPr>
            </w:pPr>
          </w:p>
        </w:tc>
      </w:tr>
    </w:tbl>
    <w:p w14:paraId="56AF1C67"/>
    <w:p w14:paraId="2A255C38"/>
    <w:tbl>
      <w:tblPr>
        <w:tblStyle w:val="19"/>
        <w:tblW w:w="8992" w:type="dxa"/>
        <w:tblInd w:w="0" w:type="dxa"/>
        <w:shd w:val="clear" w:color="auto" w:fill="auto"/>
        <w:tblLayout w:type="fixed"/>
        <w:tblCellMar>
          <w:top w:w="0" w:type="dxa"/>
          <w:left w:w="0" w:type="dxa"/>
          <w:bottom w:w="0" w:type="dxa"/>
          <w:right w:w="0" w:type="dxa"/>
        </w:tblCellMar>
      </w:tblPr>
      <w:tblGrid>
        <w:gridCol w:w="510"/>
        <w:gridCol w:w="510"/>
        <w:gridCol w:w="1044"/>
        <w:gridCol w:w="1113"/>
        <w:gridCol w:w="695"/>
        <w:gridCol w:w="692"/>
        <w:gridCol w:w="702"/>
        <w:gridCol w:w="681"/>
        <w:gridCol w:w="570"/>
        <w:gridCol w:w="660"/>
        <w:gridCol w:w="1035"/>
        <w:gridCol w:w="780"/>
      </w:tblGrid>
      <w:tr w14:paraId="3B1F9553">
        <w:tblPrEx>
          <w:tblCellMar>
            <w:top w:w="0" w:type="dxa"/>
            <w:left w:w="0" w:type="dxa"/>
            <w:bottom w:w="0" w:type="dxa"/>
            <w:right w:w="0" w:type="dxa"/>
          </w:tblCellMar>
        </w:tblPrEx>
        <w:trPr>
          <w:trHeight w:val="1220" w:hRule="atLeast"/>
        </w:trPr>
        <w:tc>
          <w:tcPr>
            <w:tcW w:w="899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1A4FC">
            <w:pPr>
              <w:keepNext w:val="0"/>
              <w:keepLines w:val="0"/>
              <w:widowControl/>
              <w:suppressLineNumbers w:val="0"/>
              <w:jc w:val="center"/>
              <w:textAlignment w:val="center"/>
              <w:rPr>
                <w:rFonts w:hint="eastAsia" w:ascii="宋体" w:hAnsi="宋体" w:eastAsia="宋体" w:cs="宋体"/>
                <w:b/>
                <w:i w:val="0"/>
                <w:color w:val="auto"/>
                <w:sz w:val="40"/>
                <w:szCs w:val="40"/>
                <w:u w:val="none"/>
              </w:rPr>
            </w:pPr>
            <w:r>
              <w:rPr>
                <w:rFonts w:hint="eastAsia" w:ascii="方正小标宋简体" w:hAnsi="方正小标宋简体" w:eastAsia="方正小标宋简体" w:cs="方正小标宋简体"/>
                <w:b w:val="0"/>
                <w:bCs/>
                <w:i w:val="0"/>
                <w:color w:val="auto"/>
                <w:kern w:val="0"/>
                <w:sz w:val="40"/>
                <w:szCs w:val="40"/>
                <w:u w:val="none"/>
                <w:lang w:val="en-US" w:eastAsia="zh-CN" w:bidi="ar"/>
              </w:rPr>
              <w:t>项目支出绩效自评表</w:t>
            </w:r>
            <w:r>
              <w:rPr>
                <w:rFonts w:hint="eastAsia" w:ascii="方正小标宋简体" w:hAnsi="方正小标宋简体" w:eastAsia="方正小标宋简体" w:cs="方正小标宋简体"/>
                <w:b w:val="0"/>
                <w:bCs/>
                <w:i w:val="0"/>
                <w:color w:val="auto"/>
                <w:kern w:val="0"/>
                <w:sz w:val="40"/>
                <w:szCs w:val="40"/>
                <w:u w:val="none"/>
                <w:lang w:val="en-US" w:eastAsia="zh-CN" w:bidi="ar"/>
              </w:rPr>
              <w:br w:type="textWrapping"/>
            </w:r>
            <w:r>
              <w:rPr>
                <w:rFonts w:hint="eastAsia" w:ascii="方正小标宋简体" w:hAnsi="方正小标宋简体" w:eastAsia="方正小标宋简体" w:cs="方正小标宋简体"/>
                <w:b w:val="0"/>
                <w:bCs/>
                <w:i w:val="0"/>
                <w:color w:val="auto"/>
                <w:kern w:val="0"/>
                <w:sz w:val="40"/>
                <w:szCs w:val="40"/>
                <w:u w:val="none"/>
                <w:lang w:val="en-US" w:eastAsia="zh-CN" w:bidi="ar"/>
              </w:rPr>
              <w:t>(</w:t>
            </w:r>
            <w:r>
              <w:rPr>
                <w:rFonts w:hint="eastAsia" w:ascii="Times New Roman" w:hAnsi="Times New Roman" w:eastAsia="方正小标宋简体" w:cs="方正小标宋简体"/>
                <w:b w:val="0"/>
                <w:bCs/>
                <w:i w:val="0"/>
                <w:color w:val="auto"/>
                <w:kern w:val="0"/>
                <w:sz w:val="40"/>
                <w:szCs w:val="40"/>
                <w:u w:val="none"/>
                <w:lang w:val="en-US" w:eastAsia="zh-CN" w:bidi="ar"/>
              </w:rPr>
              <w:t>2025</w:t>
            </w:r>
            <w:r>
              <w:rPr>
                <w:rFonts w:hint="eastAsia" w:ascii="方正小标宋简体" w:hAnsi="方正小标宋简体" w:eastAsia="方正小标宋简体" w:cs="方正小标宋简体"/>
                <w:b w:val="0"/>
                <w:bCs/>
                <w:i w:val="0"/>
                <w:color w:val="auto"/>
                <w:kern w:val="0"/>
                <w:sz w:val="40"/>
                <w:szCs w:val="40"/>
                <w:u w:val="none"/>
                <w:lang w:val="en-US" w:eastAsia="zh-CN" w:bidi="ar"/>
              </w:rPr>
              <w:t>年度）</w:t>
            </w:r>
          </w:p>
        </w:tc>
      </w:tr>
      <w:tr w14:paraId="1C0DE98F">
        <w:tblPrEx>
          <w:shd w:val="clear" w:color="auto" w:fill="auto"/>
          <w:tblCellMar>
            <w:top w:w="0" w:type="dxa"/>
            <w:left w:w="0" w:type="dxa"/>
            <w:bottom w:w="0" w:type="dxa"/>
            <w:right w:w="0" w:type="dxa"/>
          </w:tblCellMar>
        </w:tblPrEx>
        <w:trPr>
          <w:trHeight w:val="940" w:hRule="atLeast"/>
        </w:trPr>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94CF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项目名称</w:t>
            </w:r>
          </w:p>
        </w:tc>
        <w:tc>
          <w:tcPr>
            <w:tcW w:w="7972"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4B8A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公安专用装备购置与设施购建</w:t>
            </w:r>
          </w:p>
        </w:tc>
      </w:tr>
      <w:tr w14:paraId="3EA385FC">
        <w:tblPrEx>
          <w:tblCellMar>
            <w:top w:w="0" w:type="dxa"/>
            <w:left w:w="0" w:type="dxa"/>
            <w:bottom w:w="0" w:type="dxa"/>
            <w:right w:w="0" w:type="dxa"/>
          </w:tblCellMar>
        </w:tblPrEx>
        <w:trPr>
          <w:trHeight w:val="1300" w:hRule="atLeast"/>
        </w:trPr>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7136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主管部门</w:t>
            </w:r>
          </w:p>
        </w:tc>
        <w:tc>
          <w:tcPr>
            <w:tcW w:w="354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3C3C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内蒙古自治区公安厅部门</w:t>
            </w:r>
          </w:p>
        </w:tc>
        <w:tc>
          <w:tcPr>
            <w:tcW w:w="13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51DC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实施单位</w:t>
            </w:r>
          </w:p>
        </w:tc>
        <w:tc>
          <w:tcPr>
            <w:tcW w:w="304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2B2E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内蒙古大兴安岭森林公安局得耳布尔分局</w:t>
            </w:r>
          </w:p>
        </w:tc>
      </w:tr>
      <w:tr w14:paraId="7A31DB9E">
        <w:tblPrEx>
          <w:tblCellMar>
            <w:top w:w="0" w:type="dxa"/>
            <w:left w:w="0" w:type="dxa"/>
            <w:bottom w:w="0" w:type="dxa"/>
            <w:right w:w="0" w:type="dxa"/>
          </w:tblCellMar>
        </w:tblPrEx>
        <w:trPr>
          <w:trHeight w:val="1200" w:hRule="atLeast"/>
        </w:trPr>
        <w:tc>
          <w:tcPr>
            <w:tcW w:w="10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69C2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项目资金</w:t>
            </w:r>
            <w:r>
              <w:rPr>
                <w:rFonts w:hint="eastAsia" w:ascii="仿宋_GB2312" w:hAnsi="仿宋_GB2312" w:eastAsia="仿宋_GB2312" w:cs="仿宋_GB2312"/>
                <w:i w:val="0"/>
                <w:color w:val="auto"/>
                <w:kern w:val="0"/>
                <w:sz w:val="32"/>
                <w:szCs w:val="32"/>
                <w:u w:val="none"/>
                <w:lang w:val="en-US" w:eastAsia="zh-CN" w:bidi="ar"/>
              </w:rPr>
              <w:br w:type="textWrapping"/>
            </w:r>
            <w:r>
              <w:rPr>
                <w:rFonts w:hint="eastAsia" w:ascii="仿宋_GB2312" w:hAnsi="仿宋_GB2312" w:eastAsia="仿宋_GB2312" w:cs="仿宋_GB2312"/>
                <w:i w:val="0"/>
                <w:color w:val="auto"/>
                <w:kern w:val="0"/>
                <w:sz w:val="32"/>
                <w:szCs w:val="32"/>
                <w:u w:val="none"/>
                <w:lang w:val="en-US" w:eastAsia="zh-CN" w:bidi="ar"/>
              </w:rPr>
              <w:t>（万元）</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01A74">
            <w:pPr>
              <w:jc w:val="center"/>
              <w:rPr>
                <w:rFonts w:hint="eastAsia" w:ascii="仿宋_GB2312" w:hAnsi="仿宋_GB2312" w:eastAsia="仿宋_GB2312" w:cs="仿宋_GB2312"/>
                <w:i w:val="0"/>
                <w:color w:val="auto"/>
                <w:sz w:val="32"/>
                <w:szCs w:val="3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D26D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年初预算数</w:t>
            </w: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7DDC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全年预算数</w:t>
            </w:r>
          </w:p>
        </w:tc>
        <w:tc>
          <w:tcPr>
            <w:tcW w:w="13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F826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全年执行数</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D779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分值</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A135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F7D9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得分</w:t>
            </w:r>
          </w:p>
        </w:tc>
      </w:tr>
      <w:tr w14:paraId="4654CF98">
        <w:tblPrEx>
          <w:shd w:val="clear" w:color="auto" w:fill="auto"/>
          <w:tblCellMar>
            <w:top w:w="0" w:type="dxa"/>
            <w:left w:w="0" w:type="dxa"/>
            <w:bottom w:w="0" w:type="dxa"/>
            <w:right w:w="0" w:type="dxa"/>
          </w:tblCellMar>
        </w:tblPrEx>
        <w:trPr>
          <w:trHeight w:val="1200"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B4DB2">
            <w:pPr>
              <w:jc w:val="center"/>
              <w:rPr>
                <w:rFonts w:hint="eastAsia" w:ascii="仿宋_GB2312" w:hAnsi="仿宋_GB2312" w:eastAsia="仿宋_GB2312" w:cs="仿宋_GB2312"/>
                <w:i w:val="0"/>
                <w:color w:val="auto"/>
                <w:sz w:val="32"/>
                <w:szCs w:val="32"/>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AC97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年度资金总额</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3B04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80A4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13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3D05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7228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07F9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CE6F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r>
      <w:tr w14:paraId="4A6A8B6D">
        <w:tblPrEx>
          <w:shd w:val="clear" w:color="auto" w:fill="auto"/>
          <w:tblCellMar>
            <w:top w:w="0" w:type="dxa"/>
            <w:left w:w="0" w:type="dxa"/>
            <w:bottom w:w="0" w:type="dxa"/>
            <w:right w:w="0" w:type="dxa"/>
          </w:tblCellMar>
        </w:tblPrEx>
        <w:trPr>
          <w:trHeight w:val="1200"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56D4E">
            <w:pPr>
              <w:jc w:val="center"/>
              <w:rPr>
                <w:rFonts w:hint="eastAsia" w:ascii="仿宋_GB2312" w:hAnsi="仿宋_GB2312" w:eastAsia="仿宋_GB2312" w:cs="仿宋_GB2312"/>
                <w:i w:val="0"/>
                <w:color w:val="auto"/>
                <w:sz w:val="32"/>
                <w:szCs w:val="32"/>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F304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其中：财政拨款</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B15A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B049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13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E300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F2A55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CB5D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E8131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r>
      <w:tr w14:paraId="2DAF5808">
        <w:tblPrEx>
          <w:tblCellMar>
            <w:top w:w="0" w:type="dxa"/>
            <w:left w:w="0" w:type="dxa"/>
            <w:bottom w:w="0" w:type="dxa"/>
            <w:right w:w="0" w:type="dxa"/>
          </w:tblCellMar>
        </w:tblPrEx>
        <w:trPr>
          <w:trHeight w:val="1200"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30DDD">
            <w:pPr>
              <w:jc w:val="center"/>
              <w:rPr>
                <w:rFonts w:hint="eastAsia" w:ascii="仿宋_GB2312" w:hAnsi="仿宋_GB2312" w:eastAsia="仿宋_GB2312" w:cs="仿宋_GB2312"/>
                <w:i w:val="0"/>
                <w:color w:val="auto"/>
                <w:sz w:val="32"/>
                <w:szCs w:val="32"/>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02C6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上年结转资金</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DF3A5">
            <w:pPr>
              <w:jc w:val="center"/>
              <w:rPr>
                <w:rFonts w:hint="eastAsia" w:ascii="仿宋_GB2312" w:hAnsi="仿宋_GB2312" w:eastAsia="仿宋_GB2312" w:cs="仿宋_GB2312"/>
                <w:i w:val="0"/>
                <w:color w:val="auto"/>
                <w:sz w:val="32"/>
                <w:szCs w:val="32"/>
                <w:u w:val="none"/>
              </w:rPr>
            </w:pP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4EC55">
            <w:pPr>
              <w:jc w:val="center"/>
              <w:rPr>
                <w:rFonts w:hint="eastAsia" w:ascii="仿宋_GB2312" w:hAnsi="仿宋_GB2312" w:eastAsia="仿宋_GB2312" w:cs="仿宋_GB2312"/>
                <w:i w:val="0"/>
                <w:color w:val="auto"/>
                <w:sz w:val="32"/>
                <w:szCs w:val="32"/>
                <w:u w:val="none"/>
              </w:rPr>
            </w:pPr>
          </w:p>
        </w:tc>
        <w:tc>
          <w:tcPr>
            <w:tcW w:w="13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1CB58">
            <w:pPr>
              <w:jc w:val="center"/>
              <w:rPr>
                <w:rFonts w:hint="eastAsia" w:ascii="仿宋_GB2312" w:hAnsi="仿宋_GB2312" w:eastAsia="仿宋_GB2312" w:cs="仿宋_GB2312"/>
                <w:i w:val="0"/>
                <w:color w:val="auto"/>
                <w:sz w:val="32"/>
                <w:szCs w:val="32"/>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FF9F7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EFE28">
            <w:pPr>
              <w:jc w:val="center"/>
              <w:rPr>
                <w:rFonts w:hint="eastAsia" w:ascii="仿宋_GB2312" w:hAnsi="仿宋_GB2312" w:eastAsia="仿宋_GB2312" w:cs="仿宋_GB2312"/>
                <w:i w:val="0"/>
                <w:color w:val="auto"/>
                <w:sz w:val="32"/>
                <w:szCs w:val="3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5B93C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r>
      <w:tr w14:paraId="2FBDD1DC">
        <w:tblPrEx>
          <w:tblCellMar>
            <w:top w:w="0" w:type="dxa"/>
            <w:left w:w="0" w:type="dxa"/>
            <w:bottom w:w="0" w:type="dxa"/>
            <w:right w:w="0" w:type="dxa"/>
          </w:tblCellMar>
        </w:tblPrEx>
        <w:trPr>
          <w:trHeight w:val="1200"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F9E39">
            <w:pPr>
              <w:jc w:val="center"/>
              <w:rPr>
                <w:rFonts w:hint="eastAsia" w:ascii="仿宋_GB2312" w:hAnsi="仿宋_GB2312" w:eastAsia="仿宋_GB2312" w:cs="仿宋_GB2312"/>
                <w:i w:val="0"/>
                <w:color w:val="auto"/>
                <w:sz w:val="32"/>
                <w:szCs w:val="32"/>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D0F9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其他资金</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AD1A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0765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13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4E16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FFBEE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6689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D6A20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r>
      <w:tr w14:paraId="0912DD8A">
        <w:tblPrEx>
          <w:tblCellMar>
            <w:top w:w="0" w:type="dxa"/>
            <w:left w:w="0" w:type="dxa"/>
            <w:bottom w:w="0" w:type="dxa"/>
            <w:right w:w="0" w:type="dxa"/>
          </w:tblCellMar>
        </w:tblPrEx>
        <w:trPr>
          <w:trHeight w:val="720" w:hRule="atLeast"/>
        </w:trPr>
        <w:tc>
          <w:tcPr>
            <w:tcW w:w="10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6955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年度总体目标</w:t>
            </w:r>
          </w:p>
        </w:tc>
        <w:tc>
          <w:tcPr>
            <w:tcW w:w="424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6639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预期目标</w:t>
            </w:r>
          </w:p>
        </w:tc>
        <w:tc>
          <w:tcPr>
            <w:tcW w:w="372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8ACF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实际完成情况</w:t>
            </w:r>
          </w:p>
        </w:tc>
      </w:tr>
      <w:tr w14:paraId="4A0EDAC5">
        <w:tblPrEx>
          <w:tblCellMar>
            <w:top w:w="0" w:type="dxa"/>
            <w:left w:w="0" w:type="dxa"/>
            <w:bottom w:w="0" w:type="dxa"/>
            <w:right w:w="0" w:type="dxa"/>
          </w:tblCellMar>
        </w:tblPrEx>
        <w:trPr>
          <w:trHeight w:val="6640"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D344D">
            <w:pPr>
              <w:jc w:val="center"/>
              <w:rPr>
                <w:rFonts w:hint="eastAsia" w:ascii="仿宋_GB2312" w:hAnsi="仿宋_GB2312" w:eastAsia="仿宋_GB2312" w:cs="仿宋_GB2312"/>
                <w:i w:val="0"/>
                <w:color w:val="auto"/>
                <w:sz w:val="32"/>
                <w:szCs w:val="32"/>
                <w:u w:val="none"/>
              </w:rPr>
            </w:pPr>
          </w:p>
        </w:tc>
        <w:tc>
          <w:tcPr>
            <w:tcW w:w="424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686A4">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内蒙古大兴安岭森林公安局得耳布尔分局认真开展公安工作，提高整体业务装备水平，严格按照政府采购法和内控制度的规定，结合执法办案实际需求，严格控制装备购置数量，确保设备达到预期标准，验收合格率必须达到</w:t>
            </w:r>
            <w:r>
              <w:rPr>
                <w:rFonts w:hint="eastAsia" w:ascii="Times New Roman" w:hAnsi="Times New Roman" w:eastAsia="仿宋_GB2312" w:cs="仿宋_GB2312"/>
                <w:i w:val="0"/>
                <w:color w:val="auto"/>
                <w:kern w:val="0"/>
                <w:sz w:val="32"/>
                <w:szCs w:val="32"/>
                <w:u w:val="none"/>
                <w:lang w:val="en-US" w:eastAsia="zh-CN" w:bidi="ar"/>
              </w:rPr>
              <w:t>100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r>
              <w:rPr>
                <w:rFonts w:hint="eastAsia" w:ascii="仿宋_GB2312" w:hAnsi="仿宋_GB2312" w:eastAsia="仿宋_GB2312" w:cs="仿宋_GB2312"/>
                <w:i w:val="0"/>
                <w:color w:val="auto"/>
                <w:kern w:val="0"/>
                <w:sz w:val="32"/>
                <w:szCs w:val="32"/>
                <w:u w:val="none"/>
                <w:lang w:val="en-US" w:eastAsia="zh-CN" w:bidi="ar"/>
              </w:rPr>
              <w:t>%。特警装备购置成本、刑侦专用设备购置成本必须在预算数内执行，保证使用人员满意度达到</w:t>
            </w:r>
            <w:r>
              <w:rPr>
                <w:rFonts w:hint="eastAsia" w:ascii="Times New Roman" w:hAnsi="Times New Roman" w:eastAsia="仿宋_GB2312" w:cs="仿宋_GB2312"/>
                <w:i w:val="0"/>
                <w:color w:val="auto"/>
                <w:kern w:val="0"/>
                <w:sz w:val="32"/>
                <w:szCs w:val="32"/>
                <w:u w:val="none"/>
                <w:lang w:val="en-US" w:eastAsia="zh-CN" w:bidi="ar"/>
              </w:rPr>
              <w:t>90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r>
              <w:rPr>
                <w:rFonts w:hint="eastAsia" w:ascii="仿宋_GB2312" w:hAnsi="仿宋_GB2312" w:eastAsia="仿宋_GB2312" w:cs="仿宋_GB2312"/>
                <w:i w:val="0"/>
                <w:color w:val="auto"/>
                <w:kern w:val="0"/>
                <w:sz w:val="32"/>
                <w:szCs w:val="32"/>
                <w:u w:val="none"/>
                <w:lang w:val="en-US" w:eastAsia="zh-CN" w:bidi="ar"/>
              </w:rPr>
              <w:t>%以上，保证</w:t>
            </w:r>
            <w:r>
              <w:rPr>
                <w:rFonts w:hint="eastAsia" w:ascii="仿宋_GB2312" w:hAnsi="仿宋_GB2312" w:eastAsia="仿宋_GB2312" w:cs="仿宋_GB2312"/>
                <w:i w:val="0"/>
                <w:iCs w:val="0"/>
                <w:color w:val="auto"/>
                <w:sz w:val="32"/>
                <w:szCs w:val="32"/>
              </w:rPr>
              <w:t>公安专用装备</w:t>
            </w:r>
            <w:r>
              <w:rPr>
                <w:rFonts w:hint="eastAsia" w:ascii="仿宋_GB2312" w:hAnsi="仿宋_GB2312" w:eastAsia="仿宋_GB2312" w:cs="仿宋_GB2312"/>
                <w:i w:val="0"/>
                <w:iCs w:val="0"/>
                <w:color w:val="auto"/>
                <w:sz w:val="32"/>
                <w:szCs w:val="32"/>
                <w:lang w:val="en-US" w:eastAsia="zh-CN"/>
              </w:rPr>
              <w:t>购置</w:t>
            </w:r>
            <w:r>
              <w:rPr>
                <w:rFonts w:hint="eastAsia" w:ascii="仿宋_GB2312" w:hAnsi="仿宋_GB2312" w:eastAsia="仿宋_GB2312" w:cs="仿宋_GB2312"/>
                <w:i w:val="0"/>
                <w:iCs w:val="0"/>
                <w:color w:val="auto"/>
                <w:sz w:val="32"/>
                <w:szCs w:val="32"/>
              </w:rPr>
              <w:t>与设施购建</w:t>
            </w:r>
            <w:r>
              <w:rPr>
                <w:rFonts w:hint="eastAsia" w:ascii="仿宋_GB2312" w:hAnsi="仿宋_GB2312" w:eastAsia="仿宋_GB2312" w:cs="仿宋_GB2312"/>
                <w:i w:val="0"/>
                <w:color w:val="auto"/>
                <w:kern w:val="0"/>
                <w:sz w:val="32"/>
                <w:szCs w:val="32"/>
                <w:u w:val="none"/>
                <w:lang w:val="en-US" w:eastAsia="zh-CN" w:bidi="ar"/>
              </w:rPr>
              <w:t>全部用于执法办案，用以维护辖区社会稳定和治安秩序。</w:t>
            </w:r>
          </w:p>
        </w:tc>
        <w:tc>
          <w:tcPr>
            <w:tcW w:w="372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7874F">
            <w:pPr>
              <w:keepNext w:val="0"/>
              <w:keepLines w:val="0"/>
              <w:widowControl/>
              <w:suppressLineNumbers w:val="0"/>
              <w:ind w:firstLine="640" w:firstLineChars="200"/>
              <w:jc w:val="both"/>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iCs w:val="0"/>
                <w:color w:val="auto"/>
                <w:sz w:val="32"/>
                <w:szCs w:val="32"/>
              </w:rPr>
              <w:t>我单位严格执行资金管理办法</w:t>
            </w:r>
            <w:r>
              <w:rPr>
                <w:rFonts w:hint="eastAsia" w:ascii="仿宋_GB2312" w:hAnsi="仿宋_GB2312" w:eastAsia="仿宋_GB2312" w:cs="仿宋_GB2312"/>
                <w:i w:val="0"/>
                <w:iCs w:val="0"/>
                <w:color w:val="auto"/>
                <w:sz w:val="32"/>
                <w:szCs w:val="32"/>
                <w:lang w:eastAsia="zh-CN"/>
              </w:rPr>
              <w:t>，</w:t>
            </w:r>
            <w:r>
              <w:rPr>
                <w:rFonts w:hint="eastAsia" w:ascii="仿宋_GB2312" w:hAnsi="仿宋_GB2312" w:eastAsia="仿宋_GB2312" w:cs="仿宋_GB2312"/>
                <w:i w:val="0"/>
                <w:iCs w:val="0"/>
                <w:color w:val="auto"/>
                <w:sz w:val="32"/>
                <w:szCs w:val="32"/>
              </w:rPr>
              <w:t>合理安排资金支出</w:t>
            </w:r>
            <w:r>
              <w:rPr>
                <w:rFonts w:hint="eastAsia" w:ascii="仿宋_GB2312" w:hAnsi="仿宋_GB2312" w:eastAsia="仿宋_GB2312" w:cs="仿宋_GB2312"/>
                <w:i w:val="0"/>
                <w:iCs w:val="0"/>
                <w:color w:val="auto"/>
                <w:sz w:val="32"/>
                <w:szCs w:val="32"/>
                <w:lang w:eastAsia="zh-CN"/>
              </w:rPr>
              <w:t>。</w:t>
            </w:r>
            <w:r>
              <w:rPr>
                <w:rFonts w:hint="eastAsia" w:ascii="Times New Roman" w:hAnsi="Times New Roman" w:eastAsia="仿宋_GB2312" w:cs="仿宋_GB2312"/>
                <w:i w:val="0"/>
                <w:iCs w:val="0"/>
                <w:color w:val="auto"/>
                <w:sz w:val="32"/>
                <w:szCs w:val="32"/>
                <w:lang w:val="en-US" w:eastAsia="zh-CN"/>
              </w:rPr>
              <w:t>2025</w:t>
            </w:r>
            <w:r>
              <w:rPr>
                <w:rFonts w:hint="eastAsia" w:ascii="仿宋_GB2312" w:hAnsi="仿宋_GB2312" w:eastAsia="仿宋_GB2312" w:cs="仿宋_GB2312"/>
                <w:i w:val="0"/>
                <w:iCs w:val="0"/>
                <w:color w:val="auto"/>
                <w:sz w:val="32"/>
                <w:szCs w:val="32"/>
                <w:lang w:val="en-US" w:eastAsia="zh-CN"/>
              </w:rPr>
              <w:t>年</w:t>
            </w:r>
            <w:r>
              <w:rPr>
                <w:rFonts w:hint="eastAsia" w:ascii="仿宋_GB2312" w:hAnsi="仿宋_GB2312" w:eastAsia="仿宋_GB2312" w:cs="仿宋_GB2312"/>
                <w:i w:val="0"/>
                <w:color w:val="auto"/>
                <w:kern w:val="0"/>
                <w:sz w:val="32"/>
                <w:szCs w:val="32"/>
                <w:u w:val="none"/>
                <w:lang w:val="en-US" w:eastAsia="zh-CN" w:bidi="ar"/>
              </w:rPr>
              <w:t>公安专用装备购置与设施购建项目经费已完成全部支出。保障公安专用装备购置与设施购建项目经费全部用于执法办案，用以维护辖区社会稳定和治安秩序。</w:t>
            </w:r>
            <w:r>
              <w:rPr>
                <w:rFonts w:hint="eastAsia" w:ascii="仿宋_GB2312" w:hAnsi="仿宋_GB2312" w:eastAsia="仿宋_GB2312" w:cs="仿宋_GB2312"/>
                <w:i w:val="0"/>
                <w:iCs w:val="0"/>
                <w:color w:val="auto"/>
                <w:sz w:val="32"/>
                <w:szCs w:val="32"/>
              </w:rPr>
              <w:t>截至</w:t>
            </w:r>
            <w:r>
              <w:rPr>
                <w:rFonts w:hint="eastAsia" w:ascii="Times New Roman" w:hAnsi="Times New Roman" w:eastAsia="仿宋_GB2312" w:cs="仿宋_GB2312"/>
                <w:i w:val="0"/>
                <w:iCs w:val="0"/>
                <w:color w:val="auto"/>
                <w:sz w:val="32"/>
                <w:szCs w:val="32"/>
                <w:lang w:eastAsia="zh-CN"/>
              </w:rPr>
              <w:t>202</w:t>
            </w:r>
            <w:r>
              <w:rPr>
                <w:rFonts w:hint="eastAsia" w:ascii="Times New Roman" w:hAnsi="Times New Roman" w:eastAsia="仿宋_GB2312" w:cs="仿宋_GB2312"/>
                <w:i w:val="0"/>
                <w:iCs w:val="0"/>
                <w:color w:val="auto"/>
                <w:sz w:val="32"/>
                <w:szCs w:val="32"/>
                <w:lang w:val="en-US" w:eastAsia="zh-CN"/>
              </w:rPr>
              <w:t>5</w:t>
            </w:r>
            <w:r>
              <w:rPr>
                <w:rFonts w:hint="eastAsia" w:ascii="仿宋_GB2312" w:hAnsi="仿宋_GB2312" w:eastAsia="仿宋_GB2312" w:cs="仿宋_GB2312"/>
                <w:i w:val="0"/>
                <w:iCs w:val="0"/>
                <w:color w:val="auto"/>
                <w:sz w:val="32"/>
                <w:szCs w:val="32"/>
              </w:rPr>
              <w:t>年末，公安专用装备</w:t>
            </w:r>
            <w:r>
              <w:rPr>
                <w:rFonts w:hint="eastAsia" w:ascii="仿宋_GB2312" w:hAnsi="仿宋_GB2312" w:eastAsia="仿宋_GB2312" w:cs="仿宋_GB2312"/>
                <w:i w:val="0"/>
                <w:iCs w:val="0"/>
                <w:color w:val="auto"/>
                <w:sz w:val="32"/>
                <w:szCs w:val="32"/>
                <w:lang w:val="en-US" w:eastAsia="zh-CN"/>
              </w:rPr>
              <w:t>购置</w:t>
            </w:r>
            <w:r>
              <w:rPr>
                <w:rFonts w:hint="eastAsia" w:ascii="仿宋_GB2312" w:hAnsi="仿宋_GB2312" w:eastAsia="仿宋_GB2312" w:cs="仿宋_GB2312"/>
                <w:i w:val="0"/>
                <w:iCs w:val="0"/>
                <w:color w:val="auto"/>
                <w:sz w:val="32"/>
                <w:szCs w:val="32"/>
              </w:rPr>
              <w:t>与设施购建项目已完成年度目标和所有绩效指标。</w:t>
            </w:r>
          </w:p>
        </w:tc>
      </w:tr>
      <w:tr w14:paraId="5B098C04">
        <w:tblPrEx>
          <w:tblCellMar>
            <w:top w:w="0" w:type="dxa"/>
            <w:left w:w="0" w:type="dxa"/>
            <w:bottom w:w="0" w:type="dxa"/>
            <w:right w:w="0" w:type="dxa"/>
          </w:tblCellMar>
        </w:tblPrEx>
        <w:trPr>
          <w:trHeight w:val="270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A193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绩效指标</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36F5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一级指标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F1D5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二级指标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6989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三级指标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7EF2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指标性质</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4E4B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指标方向</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DEBA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年度指标值</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FEF1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实际完成值</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DC91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计量单位</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0BCC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分值</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F5C2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8B02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偏差原因分析及改进措施</w:t>
            </w:r>
          </w:p>
        </w:tc>
      </w:tr>
      <w:tr w14:paraId="3454BC2D">
        <w:tblPrEx>
          <w:tblCellMar>
            <w:top w:w="0" w:type="dxa"/>
            <w:left w:w="0" w:type="dxa"/>
            <w:bottom w:w="0" w:type="dxa"/>
            <w:right w:w="0" w:type="dxa"/>
          </w:tblCellMar>
        </w:tblPrEx>
        <w:trPr>
          <w:trHeight w:val="1680" w:hRule="atLeast"/>
        </w:trPr>
        <w:tc>
          <w:tcPr>
            <w:tcW w:w="51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6D259C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绩效指标</w:t>
            </w:r>
          </w:p>
        </w:tc>
        <w:tc>
          <w:tcPr>
            <w:tcW w:w="51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CB1F42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产出指标</w:t>
            </w:r>
          </w:p>
        </w:tc>
        <w:tc>
          <w:tcPr>
            <w:tcW w:w="10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2F7710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数量指标</w:t>
            </w:r>
          </w:p>
        </w:tc>
        <w:tc>
          <w:tcPr>
            <w:tcW w:w="11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BA29C3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购置特警</w:t>
            </w:r>
            <w:r>
              <w:rPr>
                <w:rFonts w:hint="eastAsia" w:ascii="Times New Roman" w:hAnsi="Times New Roman" w:eastAsia="仿宋_GB2312" w:cs="仿宋_GB2312"/>
                <w:i w:val="0"/>
                <w:iCs w:val="0"/>
                <w:caps w:val="0"/>
                <w:color w:val="auto"/>
                <w:spacing w:val="0"/>
                <w:kern w:val="0"/>
                <w:sz w:val="32"/>
                <w:szCs w:val="32"/>
                <w:shd w:val="clear" w:color="auto" w:fill="FFFFFF"/>
                <w:lang w:val="en-US" w:eastAsia="zh-CN" w:bidi="ar"/>
              </w:rPr>
              <w:t>装备</w:t>
            </w:r>
            <w:r>
              <w:rPr>
                <w:rFonts w:hint="eastAsia" w:ascii="仿宋_GB2312" w:hAnsi="仿宋_GB2312" w:eastAsia="仿宋_GB2312" w:cs="仿宋_GB2312"/>
                <w:i w:val="0"/>
                <w:color w:val="auto"/>
                <w:kern w:val="0"/>
                <w:sz w:val="32"/>
                <w:szCs w:val="32"/>
                <w:u w:val="none"/>
                <w:lang w:val="en-US" w:eastAsia="zh-CN" w:bidi="ar"/>
              </w:rPr>
              <w:t>数量</w:t>
            </w:r>
          </w:p>
        </w:tc>
        <w:tc>
          <w:tcPr>
            <w:tcW w:w="6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2F23D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正向</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03D4E3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大于等于</w:t>
            </w:r>
          </w:p>
        </w:tc>
        <w:tc>
          <w:tcPr>
            <w:tcW w:w="7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18EB0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6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9ED4F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5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E0F9D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套</w:t>
            </w:r>
          </w:p>
        </w:tc>
        <w:tc>
          <w:tcPr>
            <w:tcW w:w="6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2ACA48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5C49C3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09143C">
            <w:pPr>
              <w:jc w:val="center"/>
              <w:rPr>
                <w:rFonts w:hint="eastAsia" w:ascii="仿宋_GB2312" w:hAnsi="仿宋_GB2312" w:eastAsia="仿宋_GB2312" w:cs="仿宋_GB2312"/>
                <w:i w:val="0"/>
                <w:color w:val="auto"/>
                <w:sz w:val="32"/>
                <w:szCs w:val="32"/>
                <w:u w:val="none"/>
              </w:rPr>
            </w:pPr>
          </w:p>
        </w:tc>
      </w:tr>
      <w:tr w14:paraId="3C8557DE">
        <w:tblPrEx>
          <w:tblCellMar>
            <w:top w:w="0" w:type="dxa"/>
            <w:left w:w="0" w:type="dxa"/>
            <w:bottom w:w="0" w:type="dxa"/>
            <w:right w:w="0" w:type="dxa"/>
          </w:tblCellMar>
        </w:tblPrEx>
        <w:trPr>
          <w:trHeight w:val="1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7109EF5">
            <w:pPr>
              <w:jc w:val="center"/>
              <w:rPr>
                <w:rFonts w:hint="eastAsia" w:ascii="仿宋_GB2312" w:hAnsi="仿宋_GB2312" w:eastAsia="仿宋_GB2312" w:cs="仿宋_GB2312"/>
                <w:i w:val="0"/>
                <w:color w:val="auto"/>
                <w:sz w:val="32"/>
                <w:szCs w:val="32"/>
                <w:u w:val="none"/>
              </w:rPr>
            </w:pPr>
          </w:p>
        </w:tc>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F17791B">
            <w:pPr>
              <w:jc w:val="center"/>
              <w:rPr>
                <w:rFonts w:hint="eastAsia" w:ascii="仿宋_GB2312" w:hAnsi="仿宋_GB2312" w:eastAsia="仿宋_GB2312" w:cs="仿宋_GB2312"/>
                <w:i w:val="0"/>
                <w:color w:val="auto"/>
                <w:sz w:val="32"/>
                <w:szCs w:val="32"/>
                <w:u w:val="none"/>
              </w:rPr>
            </w:pPr>
          </w:p>
        </w:tc>
        <w:tc>
          <w:tcPr>
            <w:tcW w:w="10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21BDF36">
            <w:pPr>
              <w:jc w:val="center"/>
              <w:rPr>
                <w:rFonts w:hint="eastAsia" w:ascii="仿宋_GB2312" w:hAnsi="仿宋_GB2312" w:eastAsia="仿宋_GB2312" w:cs="仿宋_GB2312"/>
                <w:i w:val="0"/>
                <w:color w:val="auto"/>
                <w:sz w:val="32"/>
                <w:szCs w:val="32"/>
                <w:u w:val="none"/>
              </w:rPr>
            </w:pPr>
          </w:p>
        </w:tc>
        <w:tc>
          <w:tcPr>
            <w:tcW w:w="11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70E17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购置刑侦专用设备数量</w:t>
            </w:r>
          </w:p>
        </w:tc>
        <w:tc>
          <w:tcPr>
            <w:tcW w:w="6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F10E7F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正向</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33B92E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大于等于</w:t>
            </w:r>
          </w:p>
        </w:tc>
        <w:tc>
          <w:tcPr>
            <w:tcW w:w="7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93250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6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FE8AEC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5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22699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套</w:t>
            </w:r>
          </w:p>
        </w:tc>
        <w:tc>
          <w:tcPr>
            <w:tcW w:w="6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08DFAB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DB9AA5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BAD21CA">
            <w:pPr>
              <w:jc w:val="center"/>
              <w:rPr>
                <w:rFonts w:hint="eastAsia" w:ascii="仿宋_GB2312" w:hAnsi="仿宋_GB2312" w:eastAsia="仿宋_GB2312" w:cs="仿宋_GB2312"/>
                <w:i w:val="0"/>
                <w:color w:val="auto"/>
                <w:sz w:val="32"/>
                <w:szCs w:val="32"/>
                <w:u w:val="none"/>
              </w:rPr>
            </w:pPr>
          </w:p>
        </w:tc>
      </w:tr>
      <w:tr w14:paraId="1150539E">
        <w:tblPrEx>
          <w:shd w:val="clear" w:color="auto" w:fill="auto"/>
          <w:tblCellMar>
            <w:top w:w="0" w:type="dxa"/>
            <w:left w:w="0" w:type="dxa"/>
            <w:bottom w:w="0" w:type="dxa"/>
            <w:right w:w="0" w:type="dxa"/>
          </w:tblCellMar>
        </w:tblPrEx>
        <w:trPr>
          <w:trHeight w:val="1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5DE36DC">
            <w:pPr>
              <w:jc w:val="center"/>
              <w:rPr>
                <w:rFonts w:hint="eastAsia" w:ascii="仿宋_GB2312" w:hAnsi="仿宋_GB2312" w:eastAsia="仿宋_GB2312" w:cs="仿宋_GB2312"/>
                <w:i w:val="0"/>
                <w:color w:val="auto"/>
                <w:sz w:val="32"/>
                <w:szCs w:val="32"/>
                <w:u w:val="none"/>
              </w:rPr>
            </w:pPr>
          </w:p>
        </w:tc>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4968F57">
            <w:pPr>
              <w:jc w:val="center"/>
              <w:rPr>
                <w:rFonts w:hint="eastAsia" w:ascii="仿宋_GB2312" w:hAnsi="仿宋_GB2312" w:eastAsia="仿宋_GB2312" w:cs="仿宋_GB2312"/>
                <w:i w:val="0"/>
                <w:color w:val="auto"/>
                <w:sz w:val="32"/>
                <w:szCs w:val="32"/>
                <w:u w:val="none"/>
              </w:rPr>
            </w:pPr>
          </w:p>
        </w:tc>
        <w:tc>
          <w:tcPr>
            <w:tcW w:w="10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EE8C68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质量指标</w:t>
            </w:r>
          </w:p>
        </w:tc>
        <w:tc>
          <w:tcPr>
            <w:tcW w:w="11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D6B4CC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特警装备验收合格率</w:t>
            </w:r>
          </w:p>
        </w:tc>
        <w:tc>
          <w:tcPr>
            <w:tcW w:w="6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F6ECAD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正向</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18B59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等于</w:t>
            </w:r>
          </w:p>
        </w:tc>
        <w:tc>
          <w:tcPr>
            <w:tcW w:w="7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BBC656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p>
        </w:tc>
        <w:tc>
          <w:tcPr>
            <w:tcW w:w="6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5DA817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p>
        </w:tc>
        <w:tc>
          <w:tcPr>
            <w:tcW w:w="5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4F84B9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6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709452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6190F7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3D82C96">
            <w:pPr>
              <w:jc w:val="center"/>
              <w:rPr>
                <w:rFonts w:hint="eastAsia" w:ascii="仿宋_GB2312" w:hAnsi="仿宋_GB2312" w:eastAsia="仿宋_GB2312" w:cs="仿宋_GB2312"/>
                <w:i w:val="0"/>
                <w:color w:val="auto"/>
                <w:sz w:val="32"/>
                <w:szCs w:val="32"/>
                <w:u w:val="none"/>
              </w:rPr>
            </w:pPr>
          </w:p>
        </w:tc>
      </w:tr>
      <w:tr w14:paraId="719B03AF">
        <w:tblPrEx>
          <w:tblCellMar>
            <w:top w:w="0" w:type="dxa"/>
            <w:left w:w="0" w:type="dxa"/>
            <w:bottom w:w="0" w:type="dxa"/>
            <w:right w:w="0" w:type="dxa"/>
          </w:tblCellMar>
        </w:tblPrEx>
        <w:trPr>
          <w:trHeight w:val="1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DDBBBA">
            <w:pPr>
              <w:jc w:val="center"/>
              <w:rPr>
                <w:rFonts w:hint="eastAsia" w:ascii="仿宋_GB2312" w:hAnsi="仿宋_GB2312" w:eastAsia="仿宋_GB2312" w:cs="仿宋_GB2312"/>
                <w:i w:val="0"/>
                <w:color w:val="auto"/>
                <w:sz w:val="32"/>
                <w:szCs w:val="32"/>
                <w:u w:val="none"/>
              </w:rPr>
            </w:pPr>
          </w:p>
        </w:tc>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978B1F">
            <w:pPr>
              <w:jc w:val="center"/>
              <w:rPr>
                <w:rFonts w:hint="eastAsia" w:ascii="仿宋_GB2312" w:hAnsi="仿宋_GB2312" w:eastAsia="仿宋_GB2312" w:cs="仿宋_GB2312"/>
                <w:i w:val="0"/>
                <w:color w:val="auto"/>
                <w:sz w:val="32"/>
                <w:szCs w:val="32"/>
                <w:u w:val="none"/>
              </w:rPr>
            </w:pPr>
          </w:p>
        </w:tc>
        <w:tc>
          <w:tcPr>
            <w:tcW w:w="10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49FFD1A">
            <w:pPr>
              <w:jc w:val="center"/>
              <w:rPr>
                <w:rFonts w:hint="eastAsia" w:ascii="仿宋_GB2312" w:hAnsi="仿宋_GB2312" w:eastAsia="仿宋_GB2312" w:cs="仿宋_GB2312"/>
                <w:i w:val="0"/>
                <w:color w:val="auto"/>
                <w:sz w:val="32"/>
                <w:szCs w:val="32"/>
                <w:u w:val="none"/>
              </w:rPr>
            </w:pPr>
          </w:p>
        </w:tc>
        <w:tc>
          <w:tcPr>
            <w:tcW w:w="11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EC47DF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刑侦专用设备验收合格率</w:t>
            </w:r>
          </w:p>
        </w:tc>
        <w:tc>
          <w:tcPr>
            <w:tcW w:w="6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E575F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正向</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9E646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等于</w:t>
            </w:r>
          </w:p>
        </w:tc>
        <w:tc>
          <w:tcPr>
            <w:tcW w:w="7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318324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p>
        </w:tc>
        <w:tc>
          <w:tcPr>
            <w:tcW w:w="6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2D092D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p>
        </w:tc>
        <w:tc>
          <w:tcPr>
            <w:tcW w:w="5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8E447E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6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EF217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F5091F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7</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5</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B58D864">
            <w:pPr>
              <w:jc w:val="center"/>
              <w:rPr>
                <w:rFonts w:hint="eastAsia" w:ascii="仿宋_GB2312" w:hAnsi="仿宋_GB2312" w:eastAsia="仿宋_GB2312" w:cs="仿宋_GB2312"/>
                <w:i w:val="0"/>
                <w:color w:val="auto"/>
                <w:sz w:val="32"/>
                <w:szCs w:val="32"/>
                <w:u w:val="none"/>
              </w:rPr>
            </w:pPr>
          </w:p>
        </w:tc>
      </w:tr>
      <w:tr w14:paraId="60930C65">
        <w:tblPrEx>
          <w:tblCellMar>
            <w:top w:w="0" w:type="dxa"/>
            <w:left w:w="0" w:type="dxa"/>
            <w:bottom w:w="0" w:type="dxa"/>
            <w:right w:w="0" w:type="dxa"/>
          </w:tblCellMar>
        </w:tblPrEx>
        <w:trPr>
          <w:trHeight w:val="1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4A28E51">
            <w:pPr>
              <w:jc w:val="center"/>
              <w:rPr>
                <w:rFonts w:hint="eastAsia" w:ascii="仿宋_GB2312" w:hAnsi="仿宋_GB2312" w:eastAsia="仿宋_GB2312" w:cs="仿宋_GB2312"/>
                <w:i w:val="0"/>
                <w:color w:val="auto"/>
                <w:sz w:val="32"/>
                <w:szCs w:val="32"/>
                <w:u w:val="none"/>
              </w:rPr>
            </w:pPr>
          </w:p>
        </w:tc>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F201E7">
            <w:pPr>
              <w:jc w:val="center"/>
              <w:rPr>
                <w:rFonts w:hint="eastAsia" w:ascii="仿宋_GB2312" w:hAnsi="仿宋_GB2312" w:eastAsia="仿宋_GB2312" w:cs="仿宋_GB2312"/>
                <w:i w:val="0"/>
                <w:color w:val="auto"/>
                <w:sz w:val="32"/>
                <w:szCs w:val="32"/>
                <w:u w:val="none"/>
              </w:rPr>
            </w:pPr>
          </w:p>
        </w:tc>
        <w:tc>
          <w:tcPr>
            <w:tcW w:w="10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051C5D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时效指标</w:t>
            </w:r>
          </w:p>
        </w:tc>
        <w:tc>
          <w:tcPr>
            <w:tcW w:w="11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5E97E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特警装备采购完成时限</w:t>
            </w:r>
          </w:p>
        </w:tc>
        <w:tc>
          <w:tcPr>
            <w:tcW w:w="6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569C35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反向</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E08BDA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小于等于</w:t>
            </w:r>
          </w:p>
        </w:tc>
        <w:tc>
          <w:tcPr>
            <w:tcW w:w="7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E7CD8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20</w:t>
            </w:r>
          </w:p>
        </w:tc>
        <w:tc>
          <w:tcPr>
            <w:tcW w:w="6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60DA28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20</w:t>
            </w:r>
          </w:p>
        </w:tc>
        <w:tc>
          <w:tcPr>
            <w:tcW w:w="5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CB3719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日</w:t>
            </w:r>
          </w:p>
        </w:tc>
        <w:tc>
          <w:tcPr>
            <w:tcW w:w="6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480B7E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8F5814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3547558">
            <w:pPr>
              <w:jc w:val="center"/>
              <w:rPr>
                <w:rFonts w:hint="eastAsia" w:ascii="仿宋_GB2312" w:hAnsi="仿宋_GB2312" w:eastAsia="仿宋_GB2312" w:cs="仿宋_GB2312"/>
                <w:i w:val="0"/>
                <w:color w:val="auto"/>
                <w:sz w:val="32"/>
                <w:szCs w:val="32"/>
                <w:u w:val="none"/>
              </w:rPr>
            </w:pPr>
          </w:p>
        </w:tc>
      </w:tr>
      <w:tr w14:paraId="1FA7D70E">
        <w:tblPrEx>
          <w:shd w:val="clear" w:color="auto" w:fill="auto"/>
          <w:tblCellMar>
            <w:top w:w="0" w:type="dxa"/>
            <w:left w:w="0" w:type="dxa"/>
            <w:bottom w:w="0" w:type="dxa"/>
            <w:right w:w="0" w:type="dxa"/>
          </w:tblCellMar>
        </w:tblPrEx>
        <w:trPr>
          <w:trHeight w:val="1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043E15E">
            <w:pPr>
              <w:jc w:val="center"/>
              <w:rPr>
                <w:rFonts w:hint="eastAsia" w:ascii="仿宋_GB2312" w:hAnsi="仿宋_GB2312" w:eastAsia="仿宋_GB2312" w:cs="仿宋_GB2312"/>
                <w:i w:val="0"/>
                <w:color w:val="auto"/>
                <w:sz w:val="32"/>
                <w:szCs w:val="32"/>
                <w:u w:val="none"/>
              </w:rPr>
            </w:pPr>
          </w:p>
        </w:tc>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4509C1">
            <w:pPr>
              <w:jc w:val="center"/>
              <w:rPr>
                <w:rFonts w:hint="eastAsia" w:ascii="仿宋_GB2312" w:hAnsi="仿宋_GB2312" w:eastAsia="仿宋_GB2312" w:cs="仿宋_GB2312"/>
                <w:i w:val="0"/>
                <w:color w:val="auto"/>
                <w:sz w:val="32"/>
                <w:szCs w:val="32"/>
                <w:u w:val="none"/>
              </w:rPr>
            </w:pPr>
          </w:p>
        </w:tc>
        <w:tc>
          <w:tcPr>
            <w:tcW w:w="10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9E00748">
            <w:pPr>
              <w:jc w:val="center"/>
              <w:rPr>
                <w:rFonts w:hint="eastAsia" w:ascii="仿宋_GB2312" w:hAnsi="仿宋_GB2312" w:eastAsia="仿宋_GB2312" w:cs="仿宋_GB2312"/>
                <w:i w:val="0"/>
                <w:color w:val="auto"/>
                <w:sz w:val="32"/>
                <w:szCs w:val="32"/>
                <w:u w:val="none"/>
              </w:rPr>
            </w:pPr>
          </w:p>
        </w:tc>
        <w:tc>
          <w:tcPr>
            <w:tcW w:w="11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128B15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刑侦专用设备采购完成时限</w:t>
            </w:r>
          </w:p>
        </w:tc>
        <w:tc>
          <w:tcPr>
            <w:tcW w:w="6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45A61E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反向</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2A1B1B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小于等于</w:t>
            </w:r>
          </w:p>
        </w:tc>
        <w:tc>
          <w:tcPr>
            <w:tcW w:w="7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7EC42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20</w:t>
            </w:r>
          </w:p>
        </w:tc>
        <w:tc>
          <w:tcPr>
            <w:tcW w:w="6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2D9A2D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20</w:t>
            </w:r>
          </w:p>
        </w:tc>
        <w:tc>
          <w:tcPr>
            <w:tcW w:w="5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107FBE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日</w:t>
            </w:r>
          </w:p>
        </w:tc>
        <w:tc>
          <w:tcPr>
            <w:tcW w:w="6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E4BE30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408E3C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185E90D">
            <w:pPr>
              <w:jc w:val="center"/>
              <w:rPr>
                <w:rFonts w:hint="eastAsia" w:ascii="仿宋_GB2312" w:hAnsi="仿宋_GB2312" w:eastAsia="仿宋_GB2312" w:cs="仿宋_GB2312"/>
                <w:i w:val="0"/>
                <w:color w:val="auto"/>
                <w:sz w:val="32"/>
                <w:szCs w:val="32"/>
                <w:u w:val="none"/>
              </w:rPr>
            </w:pPr>
          </w:p>
        </w:tc>
      </w:tr>
      <w:tr w14:paraId="77E2B910">
        <w:tblPrEx>
          <w:tblCellMar>
            <w:top w:w="0" w:type="dxa"/>
            <w:left w:w="0" w:type="dxa"/>
            <w:bottom w:w="0" w:type="dxa"/>
            <w:right w:w="0" w:type="dxa"/>
          </w:tblCellMar>
        </w:tblPrEx>
        <w:trPr>
          <w:trHeight w:val="1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240C58">
            <w:pPr>
              <w:jc w:val="center"/>
              <w:rPr>
                <w:rFonts w:hint="eastAsia" w:ascii="仿宋_GB2312" w:hAnsi="仿宋_GB2312" w:eastAsia="仿宋_GB2312" w:cs="仿宋_GB2312"/>
                <w:i w:val="0"/>
                <w:color w:val="auto"/>
                <w:sz w:val="32"/>
                <w:szCs w:val="32"/>
                <w:u w:val="none"/>
              </w:rPr>
            </w:pPr>
          </w:p>
        </w:tc>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2A59BE2">
            <w:pPr>
              <w:jc w:val="center"/>
              <w:rPr>
                <w:rFonts w:hint="eastAsia" w:ascii="仿宋_GB2312" w:hAnsi="仿宋_GB2312" w:eastAsia="仿宋_GB2312" w:cs="仿宋_GB2312"/>
                <w:i w:val="0"/>
                <w:color w:val="auto"/>
                <w:sz w:val="32"/>
                <w:szCs w:val="32"/>
                <w:u w:val="none"/>
              </w:rPr>
            </w:pPr>
          </w:p>
        </w:tc>
        <w:tc>
          <w:tcPr>
            <w:tcW w:w="10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59165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成本指标</w:t>
            </w:r>
          </w:p>
        </w:tc>
        <w:tc>
          <w:tcPr>
            <w:tcW w:w="11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923961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特警装备购置成本</w:t>
            </w:r>
          </w:p>
        </w:tc>
        <w:tc>
          <w:tcPr>
            <w:tcW w:w="6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61D8BB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反向</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6E119B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小于等于</w:t>
            </w:r>
          </w:p>
        </w:tc>
        <w:tc>
          <w:tcPr>
            <w:tcW w:w="7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A7FFB4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6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468F2C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5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1392C0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万元</w:t>
            </w:r>
          </w:p>
        </w:tc>
        <w:tc>
          <w:tcPr>
            <w:tcW w:w="6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9D0265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AD4B04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0A1C7C6">
            <w:pPr>
              <w:jc w:val="center"/>
              <w:rPr>
                <w:rFonts w:hint="eastAsia" w:ascii="仿宋_GB2312" w:hAnsi="仿宋_GB2312" w:eastAsia="仿宋_GB2312" w:cs="仿宋_GB2312"/>
                <w:i w:val="0"/>
                <w:color w:val="auto"/>
                <w:sz w:val="32"/>
                <w:szCs w:val="32"/>
                <w:u w:val="none"/>
              </w:rPr>
            </w:pPr>
          </w:p>
        </w:tc>
      </w:tr>
      <w:tr w14:paraId="6C5F3571">
        <w:tblPrEx>
          <w:tblCellMar>
            <w:top w:w="0" w:type="dxa"/>
            <w:left w:w="0" w:type="dxa"/>
            <w:bottom w:w="0" w:type="dxa"/>
            <w:right w:w="0" w:type="dxa"/>
          </w:tblCellMar>
        </w:tblPrEx>
        <w:trPr>
          <w:trHeight w:val="1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AD9852">
            <w:pPr>
              <w:jc w:val="center"/>
              <w:rPr>
                <w:rFonts w:hint="eastAsia" w:ascii="仿宋_GB2312" w:hAnsi="仿宋_GB2312" w:eastAsia="仿宋_GB2312" w:cs="仿宋_GB2312"/>
                <w:i w:val="0"/>
                <w:color w:val="auto"/>
                <w:sz w:val="32"/>
                <w:szCs w:val="32"/>
                <w:u w:val="none"/>
              </w:rPr>
            </w:pPr>
          </w:p>
        </w:tc>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D2A0D2D">
            <w:pPr>
              <w:jc w:val="center"/>
              <w:rPr>
                <w:rFonts w:hint="eastAsia" w:ascii="仿宋_GB2312" w:hAnsi="仿宋_GB2312" w:eastAsia="仿宋_GB2312" w:cs="仿宋_GB2312"/>
                <w:i w:val="0"/>
                <w:color w:val="auto"/>
                <w:sz w:val="32"/>
                <w:szCs w:val="32"/>
                <w:u w:val="none"/>
              </w:rPr>
            </w:pPr>
          </w:p>
        </w:tc>
        <w:tc>
          <w:tcPr>
            <w:tcW w:w="10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9313B0">
            <w:pPr>
              <w:jc w:val="center"/>
              <w:rPr>
                <w:rFonts w:hint="eastAsia" w:ascii="仿宋_GB2312" w:hAnsi="仿宋_GB2312" w:eastAsia="仿宋_GB2312" w:cs="仿宋_GB2312"/>
                <w:i w:val="0"/>
                <w:color w:val="auto"/>
                <w:sz w:val="32"/>
                <w:szCs w:val="32"/>
                <w:u w:val="none"/>
              </w:rPr>
            </w:pPr>
          </w:p>
        </w:tc>
        <w:tc>
          <w:tcPr>
            <w:tcW w:w="11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CB1AB5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刑侦专用设备购置成本</w:t>
            </w:r>
          </w:p>
        </w:tc>
        <w:tc>
          <w:tcPr>
            <w:tcW w:w="6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736298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反向</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C8C72E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小于等于</w:t>
            </w:r>
          </w:p>
        </w:tc>
        <w:tc>
          <w:tcPr>
            <w:tcW w:w="7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90195A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6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84FB57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5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417811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万元</w:t>
            </w:r>
          </w:p>
        </w:tc>
        <w:tc>
          <w:tcPr>
            <w:tcW w:w="6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898042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A0AD13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5</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A943EF1">
            <w:pPr>
              <w:jc w:val="center"/>
              <w:rPr>
                <w:rFonts w:hint="eastAsia" w:ascii="仿宋_GB2312" w:hAnsi="仿宋_GB2312" w:eastAsia="仿宋_GB2312" w:cs="仿宋_GB2312"/>
                <w:i w:val="0"/>
                <w:color w:val="auto"/>
                <w:sz w:val="32"/>
                <w:szCs w:val="32"/>
                <w:u w:val="none"/>
              </w:rPr>
            </w:pPr>
          </w:p>
        </w:tc>
      </w:tr>
      <w:tr w14:paraId="50AFA576">
        <w:tblPrEx>
          <w:tblCellMar>
            <w:top w:w="0" w:type="dxa"/>
            <w:left w:w="0" w:type="dxa"/>
            <w:bottom w:w="0" w:type="dxa"/>
            <w:right w:w="0" w:type="dxa"/>
          </w:tblCellMar>
        </w:tblPrEx>
        <w:trPr>
          <w:trHeight w:val="1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5267C8D">
            <w:pPr>
              <w:jc w:val="center"/>
              <w:rPr>
                <w:rFonts w:hint="eastAsia" w:ascii="仿宋_GB2312" w:hAnsi="仿宋_GB2312" w:eastAsia="仿宋_GB2312" w:cs="仿宋_GB2312"/>
                <w:i w:val="0"/>
                <w:color w:val="auto"/>
                <w:sz w:val="32"/>
                <w:szCs w:val="32"/>
                <w:u w:val="none"/>
              </w:rPr>
            </w:pPr>
          </w:p>
        </w:tc>
        <w:tc>
          <w:tcPr>
            <w:tcW w:w="51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8ECDD9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效益指标</w:t>
            </w:r>
          </w:p>
        </w:tc>
        <w:tc>
          <w:tcPr>
            <w:tcW w:w="10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3D90E7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社会效益指标</w:t>
            </w:r>
          </w:p>
        </w:tc>
        <w:tc>
          <w:tcPr>
            <w:tcW w:w="11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54356A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提高特警装备配备质量</w:t>
            </w:r>
          </w:p>
        </w:tc>
        <w:tc>
          <w:tcPr>
            <w:tcW w:w="6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E2E4B8">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定性</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DDF1629">
            <w:pPr>
              <w:jc w:val="center"/>
              <w:rPr>
                <w:rFonts w:hint="eastAsia" w:ascii="仿宋_GB2312" w:hAnsi="仿宋_GB2312" w:eastAsia="仿宋_GB2312" w:cs="仿宋_GB2312"/>
                <w:i w:val="0"/>
                <w:color w:val="auto"/>
                <w:sz w:val="32"/>
                <w:szCs w:val="32"/>
                <w:u w:val="none"/>
              </w:rPr>
            </w:pPr>
          </w:p>
        </w:tc>
        <w:tc>
          <w:tcPr>
            <w:tcW w:w="7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484D197">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有效提高</w:t>
            </w:r>
          </w:p>
        </w:tc>
        <w:tc>
          <w:tcPr>
            <w:tcW w:w="6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C36452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有效提高</w:t>
            </w:r>
          </w:p>
        </w:tc>
        <w:tc>
          <w:tcPr>
            <w:tcW w:w="5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A1F9EA8">
            <w:pPr>
              <w:jc w:val="center"/>
              <w:rPr>
                <w:rFonts w:hint="eastAsia" w:ascii="仿宋_GB2312" w:hAnsi="仿宋_GB2312" w:eastAsia="仿宋_GB2312" w:cs="仿宋_GB2312"/>
                <w:i w:val="0"/>
                <w:color w:val="auto"/>
                <w:sz w:val="32"/>
                <w:szCs w:val="32"/>
                <w:u w:val="none"/>
              </w:rPr>
            </w:pPr>
          </w:p>
        </w:tc>
        <w:tc>
          <w:tcPr>
            <w:tcW w:w="6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F05997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15</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1B4E89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15</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8B742B">
            <w:pPr>
              <w:jc w:val="center"/>
              <w:rPr>
                <w:rFonts w:hint="eastAsia" w:ascii="仿宋_GB2312" w:hAnsi="仿宋_GB2312" w:eastAsia="仿宋_GB2312" w:cs="仿宋_GB2312"/>
                <w:i w:val="0"/>
                <w:color w:val="auto"/>
                <w:sz w:val="32"/>
                <w:szCs w:val="32"/>
                <w:u w:val="none"/>
              </w:rPr>
            </w:pPr>
          </w:p>
        </w:tc>
      </w:tr>
      <w:tr w14:paraId="0A31F5B1">
        <w:tblPrEx>
          <w:shd w:val="clear" w:color="auto" w:fill="auto"/>
          <w:tblCellMar>
            <w:top w:w="0" w:type="dxa"/>
            <w:left w:w="0" w:type="dxa"/>
            <w:bottom w:w="0" w:type="dxa"/>
            <w:right w:w="0" w:type="dxa"/>
          </w:tblCellMar>
        </w:tblPrEx>
        <w:trPr>
          <w:trHeight w:val="1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73DED5">
            <w:pPr>
              <w:jc w:val="center"/>
              <w:rPr>
                <w:rFonts w:hint="eastAsia" w:ascii="仿宋_GB2312" w:hAnsi="仿宋_GB2312" w:eastAsia="仿宋_GB2312" w:cs="仿宋_GB2312"/>
                <w:i w:val="0"/>
                <w:color w:val="auto"/>
                <w:sz w:val="32"/>
                <w:szCs w:val="32"/>
                <w:u w:val="none"/>
              </w:rPr>
            </w:pPr>
          </w:p>
        </w:tc>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31DC7F8">
            <w:pPr>
              <w:jc w:val="center"/>
              <w:rPr>
                <w:rFonts w:hint="eastAsia" w:ascii="仿宋_GB2312" w:hAnsi="仿宋_GB2312" w:eastAsia="仿宋_GB2312" w:cs="仿宋_GB2312"/>
                <w:i w:val="0"/>
                <w:color w:val="auto"/>
                <w:sz w:val="32"/>
                <w:szCs w:val="32"/>
                <w:u w:val="none"/>
              </w:rPr>
            </w:pPr>
          </w:p>
        </w:tc>
        <w:tc>
          <w:tcPr>
            <w:tcW w:w="10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9ACF2B6">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可持续影响指标</w:t>
            </w:r>
          </w:p>
        </w:tc>
        <w:tc>
          <w:tcPr>
            <w:tcW w:w="11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060378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装备售后保障时间</w:t>
            </w:r>
          </w:p>
        </w:tc>
        <w:tc>
          <w:tcPr>
            <w:tcW w:w="6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85D89E4">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正向</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5DCEE9D">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大于等于</w:t>
            </w:r>
          </w:p>
        </w:tc>
        <w:tc>
          <w:tcPr>
            <w:tcW w:w="7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21F203E">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w:t>
            </w:r>
          </w:p>
        </w:tc>
        <w:tc>
          <w:tcPr>
            <w:tcW w:w="6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C44156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w:t>
            </w:r>
          </w:p>
        </w:tc>
        <w:tc>
          <w:tcPr>
            <w:tcW w:w="5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76A1D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年</w:t>
            </w:r>
          </w:p>
        </w:tc>
        <w:tc>
          <w:tcPr>
            <w:tcW w:w="6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22BF76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15</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77DA6B">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15</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8BECFF9">
            <w:pPr>
              <w:jc w:val="center"/>
              <w:rPr>
                <w:rFonts w:hint="eastAsia" w:ascii="仿宋_GB2312" w:hAnsi="仿宋_GB2312" w:eastAsia="仿宋_GB2312" w:cs="仿宋_GB2312"/>
                <w:i w:val="0"/>
                <w:color w:val="auto"/>
                <w:sz w:val="32"/>
                <w:szCs w:val="32"/>
                <w:u w:val="none"/>
              </w:rPr>
            </w:pPr>
          </w:p>
        </w:tc>
      </w:tr>
      <w:tr w14:paraId="32B99C9D">
        <w:tblPrEx>
          <w:tblCellMar>
            <w:top w:w="0" w:type="dxa"/>
            <w:left w:w="0" w:type="dxa"/>
            <w:bottom w:w="0" w:type="dxa"/>
            <w:right w:w="0" w:type="dxa"/>
          </w:tblCellMar>
        </w:tblPrEx>
        <w:trPr>
          <w:trHeight w:val="1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83D1BC">
            <w:pPr>
              <w:jc w:val="center"/>
              <w:rPr>
                <w:rFonts w:hint="eastAsia" w:ascii="仿宋_GB2312" w:hAnsi="仿宋_GB2312" w:eastAsia="仿宋_GB2312" w:cs="仿宋_GB2312"/>
                <w:i w:val="0"/>
                <w:color w:val="auto"/>
                <w:sz w:val="32"/>
                <w:szCs w:val="32"/>
                <w:u w:val="none"/>
              </w:rPr>
            </w:pPr>
          </w:p>
        </w:tc>
        <w:tc>
          <w:tcPr>
            <w:tcW w:w="5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5E5ADA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满意度指标</w:t>
            </w:r>
          </w:p>
        </w:tc>
        <w:tc>
          <w:tcPr>
            <w:tcW w:w="10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451EBB5">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服务对象满意度指标</w:t>
            </w:r>
          </w:p>
        </w:tc>
        <w:tc>
          <w:tcPr>
            <w:tcW w:w="11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CD0A93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特警装备使用人员满意度</w:t>
            </w:r>
          </w:p>
        </w:tc>
        <w:tc>
          <w:tcPr>
            <w:tcW w:w="6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C26A553">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正向</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B007320">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大于等于</w:t>
            </w:r>
          </w:p>
        </w:tc>
        <w:tc>
          <w:tcPr>
            <w:tcW w:w="7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F895CA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90</w:t>
            </w:r>
          </w:p>
        </w:tc>
        <w:tc>
          <w:tcPr>
            <w:tcW w:w="6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79F9E2">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5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06EACE1">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w:t>
            </w:r>
          </w:p>
        </w:tc>
        <w:tc>
          <w:tcPr>
            <w:tcW w:w="6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B651219">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846E7EF">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4C17DC2">
            <w:pPr>
              <w:jc w:val="center"/>
              <w:rPr>
                <w:rFonts w:hint="eastAsia" w:ascii="仿宋_GB2312" w:hAnsi="仿宋_GB2312" w:eastAsia="仿宋_GB2312" w:cs="仿宋_GB2312"/>
                <w:i w:val="0"/>
                <w:color w:val="auto"/>
                <w:sz w:val="32"/>
                <w:szCs w:val="32"/>
                <w:u w:val="none"/>
              </w:rPr>
            </w:pPr>
          </w:p>
        </w:tc>
      </w:tr>
      <w:tr w14:paraId="1E7603D5">
        <w:tblPrEx>
          <w:tblCellMar>
            <w:top w:w="0" w:type="dxa"/>
            <w:left w:w="0" w:type="dxa"/>
            <w:bottom w:w="0" w:type="dxa"/>
            <w:right w:w="0" w:type="dxa"/>
          </w:tblCellMar>
        </w:tblPrEx>
        <w:trPr>
          <w:trHeight w:val="820" w:hRule="atLeast"/>
        </w:trPr>
        <w:tc>
          <w:tcPr>
            <w:tcW w:w="651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8F25A">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总分</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DEEC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C738C">
            <w:pPr>
              <w:keepNext w:val="0"/>
              <w:keepLines w:val="0"/>
              <w:widowControl/>
              <w:suppressLineNumbers w:val="0"/>
              <w:jc w:val="center"/>
              <w:textAlignment w:val="center"/>
              <w:rPr>
                <w:rFonts w:hint="eastAsia" w:ascii="仿宋_GB2312" w:hAnsi="仿宋_GB2312" w:eastAsia="仿宋_GB2312" w:cs="仿宋_GB2312"/>
                <w:i w:val="0"/>
                <w:color w:val="auto"/>
                <w:sz w:val="32"/>
                <w:szCs w:val="32"/>
                <w:u w:val="none"/>
              </w:rPr>
            </w:pPr>
            <w:r>
              <w:rPr>
                <w:rFonts w:hint="eastAsia" w:ascii="Times New Roman" w:hAnsi="Times New Roman" w:eastAsia="仿宋_GB2312" w:cs="仿宋_GB2312"/>
                <w:i w:val="0"/>
                <w:color w:val="auto"/>
                <w:kern w:val="0"/>
                <w:sz w:val="32"/>
                <w:szCs w:val="32"/>
                <w:u w:val="none"/>
                <w:lang w:val="en-US" w:eastAsia="zh-CN" w:bidi="ar"/>
              </w:rPr>
              <w:t>100</w:t>
            </w:r>
            <w:r>
              <w:rPr>
                <w:rFonts w:hint="eastAsia" w:ascii="仿宋_GB2312" w:hAnsi="仿宋_GB2312" w:eastAsia="仿宋_GB2312" w:cs="仿宋_GB2312"/>
                <w:i w:val="0"/>
                <w:color w:val="auto"/>
                <w:kern w:val="0"/>
                <w:sz w:val="32"/>
                <w:szCs w:val="32"/>
                <w:u w:val="none"/>
                <w:lang w:val="en-US" w:eastAsia="zh-CN" w:bidi="ar"/>
              </w:rPr>
              <w:t>.</w:t>
            </w:r>
            <w:r>
              <w:rPr>
                <w:rFonts w:hint="eastAsia" w:ascii="Times New Roman" w:hAnsi="Times New Roman" w:eastAsia="仿宋_GB2312" w:cs="仿宋_GB2312"/>
                <w:i w:val="0"/>
                <w:color w:val="auto"/>
                <w:kern w:val="0"/>
                <w:sz w:val="32"/>
                <w:szCs w:val="32"/>
                <w:u w:val="none"/>
                <w:lang w:val="en-US" w:eastAsia="zh-CN" w:bidi="ar"/>
              </w:rPr>
              <w:t>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53F30">
            <w:pPr>
              <w:jc w:val="center"/>
              <w:rPr>
                <w:rFonts w:hint="eastAsia" w:ascii="仿宋_GB2312" w:hAnsi="仿宋_GB2312" w:eastAsia="仿宋_GB2312" w:cs="仿宋_GB2312"/>
                <w:i w:val="0"/>
                <w:color w:val="auto"/>
                <w:sz w:val="32"/>
                <w:szCs w:val="32"/>
                <w:u w:val="none"/>
              </w:rPr>
            </w:pPr>
          </w:p>
        </w:tc>
      </w:tr>
    </w:tbl>
    <w:p w14:paraId="269F1050">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（三）</w:t>
      </w:r>
      <w:r>
        <w:rPr>
          <w:rFonts w:hint="eastAsia" w:ascii="楷体_GB2312" w:hAnsi="楷体_GB2312" w:eastAsia="楷体_GB2312" w:cs="楷体_GB2312"/>
          <w:b/>
          <w:bCs/>
          <w:color w:val="auto"/>
          <w:kern w:val="0"/>
          <w:sz w:val="32"/>
          <w:szCs w:val="32"/>
          <w:lang w:val="en-US" w:eastAsia="zh-CN"/>
        </w:rPr>
        <w:t>单位</w:t>
      </w:r>
      <w:r>
        <w:rPr>
          <w:rFonts w:hint="eastAsia" w:ascii="楷体_GB2312" w:hAnsi="楷体_GB2312" w:eastAsia="楷体_GB2312" w:cs="楷体_GB2312"/>
          <w:b/>
          <w:bCs/>
          <w:color w:val="auto"/>
          <w:kern w:val="0"/>
          <w:sz w:val="32"/>
          <w:szCs w:val="32"/>
        </w:rPr>
        <w:t>项目绩效评价结果。</w:t>
      </w:r>
    </w:p>
    <w:p w14:paraId="1731E29A">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宋体" w:eastAsia="仿宋_GB2312" w:cs="仿宋_GB2312"/>
          <w:i w:val="0"/>
          <w:caps w:val="0"/>
          <w:color w:val="auto"/>
          <w:spacing w:val="0"/>
          <w:sz w:val="32"/>
          <w:szCs w:val="32"/>
          <w:shd w:val="clear" w:fill="FFFFFF"/>
          <w:lang w:eastAsia="zh-CN"/>
        </w:rPr>
      </w:pPr>
      <w:r>
        <w:rPr>
          <w:rFonts w:hint="eastAsia" w:ascii="Times New Roman" w:hAnsi="Times New Roman" w:eastAsia="仿宋_GB2312" w:cs="仿宋_GB2312"/>
          <w:i w:val="0"/>
          <w:caps w:val="0"/>
          <w:color w:val="auto"/>
          <w:spacing w:val="0"/>
          <w:sz w:val="32"/>
          <w:szCs w:val="32"/>
          <w:shd w:val="clear" w:fill="FFFFFF"/>
          <w:lang w:val="en-US" w:eastAsia="zh-CN"/>
        </w:rPr>
        <w:t>1</w:t>
      </w:r>
      <w:r>
        <w:rPr>
          <w:rFonts w:hint="eastAsia" w:ascii="仿宋_GB2312" w:hAnsi="宋体" w:eastAsia="仿宋_GB2312" w:cs="仿宋_GB2312"/>
          <w:i w:val="0"/>
          <w:caps w:val="0"/>
          <w:color w:val="auto"/>
          <w:spacing w:val="0"/>
          <w:sz w:val="32"/>
          <w:szCs w:val="32"/>
          <w:shd w:val="clear" w:fill="FFFFFF"/>
          <w:lang w:val="en-US" w:eastAsia="zh-CN"/>
        </w:rPr>
        <w:t>.办案（业务）经费</w:t>
      </w:r>
      <w:r>
        <w:rPr>
          <w:rFonts w:hint="eastAsia" w:ascii="仿宋_GB2312" w:hAnsi="宋体" w:eastAsia="仿宋_GB2312" w:cs="仿宋_GB2312"/>
          <w:i w:val="0"/>
          <w:caps w:val="0"/>
          <w:color w:val="auto"/>
          <w:spacing w:val="0"/>
          <w:sz w:val="32"/>
          <w:szCs w:val="32"/>
          <w:shd w:val="clear" w:fill="FFFFFF"/>
        </w:rPr>
        <w:t>项目绩效评价综合得分为</w:t>
      </w:r>
      <w:r>
        <w:rPr>
          <w:rFonts w:hint="eastAsia" w:ascii="Times New Roman" w:hAnsi="Times New Roman" w:eastAsia="仿宋_GB2312" w:cs="仿宋_GB2312"/>
          <w:i w:val="0"/>
          <w:caps w:val="0"/>
          <w:color w:val="auto"/>
          <w:spacing w:val="0"/>
          <w:sz w:val="32"/>
          <w:szCs w:val="32"/>
          <w:shd w:val="clear" w:fill="FFFFFF"/>
          <w:lang w:val="en-US" w:eastAsia="zh-CN"/>
        </w:rPr>
        <w:t>100</w:t>
      </w:r>
      <w:r>
        <w:rPr>
          <w:rFonts w:hint="eastAsia" w:ascii="仿宋_GB2312" w:hAnsi="宋体" w:eastAsia="仿宋_GB2312" w:cs="仿宋_GB2312"/>
          <w:i w:val="0"/>
          <w:caps w:val="0"/>
          <w:color w:val="auto"/>
          <w:spacing w:val="0"/>
          <w:sz w:val="32"/>
          <w:szCs w:val="32"/>
          <w:shd w:val="clear" w:fill="FFFFFF"/>
        </w:rPr>
        <w:t>分，绩效评价结果为“优”</w:t>
      </w:r>
      <w:r>
        <w:rPr>
          <w:rFonts w:hint="eastAsia" w:ascii="仿宋_GB2312" w:hAnsi="宋体" w:eastAsia="仿宋_GB2312" w:cs="仿宋_GB2312"/>
          <w:i w:val="0"/>
          <w:caps w:val="0"/>
          <w:color w:val="auto"/>
          <w:spacing w:val="0"/>
          <w:sz w:val="32"/>
          <w:szCs w:val="32"/>
          <w:shd w:val="clear" w:fill="FFFFFF"/>
          <w:lang w:eastAsia="zh-CN"/>
        </w:rPr>
        <w:t>。</w:t>
      </w:r>
    </w:p>
    <w:p w14:paraId="54C47037">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仿宋_GB2312" w:hAnsi="宋体" w:eastAsia="仿宋_GB2312" w:cs="仿宋_GB2312"/>
          <w:i w:val="0"/>
          <w:caps w:val="0"/>
          <w:color w:val="auto"/>
          <w:spacing w:val="0"/>
          <w:sz w:val="32"/>
          <w:szCs w:val="32"/>
          <w:shd w:val="clear" w:fill="FFFFFF"/>
          <w:lang w:val="en-US" w:eastAsia="zh-CN"/>
        </w:rPr>
      </w:pPr>
      <w:r>
        <w:rPr>
          <w:rFonts w:hint="eastAsia" w:ascii="Times New Roman" w:hAnsi="Times New Roman" w:eastAsia="仿宋_GB2312" w:cs="仿宋_GB2312"/>
          <w:i w:val="0"/>
          <w:caps w:val="0"/>
          <w:color w:val="auto"/>
          <w:spacing w:val="0"/>
          <w:sz w:val="32"/>
          <w:szCs w:val="32"/>
          <w:shd w:val="clear" w:fill="FFFFFF"/>
          <w:lang w:val="en-US" w:eastAsia="zh-CN"/>
        </w:rPr>
        <w:t>2</w:t>
      </w:r>
      <w:r>
        <w:rPr>
          <w:rFonts w:hint="eastAsia" w:ascii="仿宋_GB2312" w:hAnsi="宋体" w:eastAsia="仿宋_GB2312" w:cs="仿宋_GB2312"/>
          <w:i w:val="0"/>
          <w:caps w:val="0"/>
          <w:color w:val="auto"/>
          <w:spacing w:val="0"/>
          <w:sz w:val="32"/>
          <w:szCs w:val="32"/>
          <w:shd w:val="clear" w:fill="FFFFFF"/>
          <w:lang w:val="en-US" w:eastAsia="zh-CN"/>
        </w:rPr>
        <w:t>.</w:t>
      </w:r>
      <w:r>
        <w:rPr>
          <w:rFonts w:hint="eastAsia" w:ascii="仿宋_GB2312" w:hAnsi="仿宋_GB2312" w:eastAsia="仿宋_GB2312" w:cs="仿宋_GB2312"/>
          <w:i w:val="0"/>
          <w:iCs w:val="0"/>
          <w:caps w:val="0"/>
          <w:color w:val="auto"/>
          <w:spacing w:val="0"/>
          <w:sz w:val="32"/>
          <w:szCs w:val="32"/>
          <w:shd w:val="clear" w:color="auto" w:fill="FFFFFF"/>
        </w:rPr>
        <w:t>公安专用装备购置与设施购建项目</w:t>
      </w:r>
      <w:r>
        <w:rPr>
          <w:rFonts w:hint="eastAsia" w:ascii="仿宋_GB2312" w:hAnsi="宋体" w:eastAsia="仿宋_GB2312" w:cs="仿宋_GB2312"/>
          <w:i w:val="0"/>
          <w:caps w:val="0"/>
          <w:color w:val="auto"/>
          <w:spacing w:val="0"/>
          <w:sz w:val="32"/>
          <w:szCs w:val="32"/>
          <w:shd w:val="clear" w:fill="FFFFFF"/>
        </w:rPr>
        <w:t>绩效评价综合得分为</w:t>
      </w:r>
      <w:r>
        <w:rPr>
          <w:rFonts w:hint="eastAsia" w:ascii="Times New Roman" w:hAnsi="Times New Roman" w:eastAsia="仿宋_GB2312" w:cs="仿宋_GB2312"/>
          <w:i w:val="0"/>
          <w:caps w:val="0"/>
          <w:color w:val="auto"/>
          <w:spacing w:val="0"/>
          <w:sz w:val="32"/>
          <w:szCs w:val="32"/>
          <w:shd w:val="clear" w:fill="FFFFFF"/>
          <w:lang w:val="en-US" w:eastAsia="zh-CN"/>
        </w:rPr>
        <w:t>100</w:t>
      </w:r>
      <w:r>
        <w:rPr>
          <w:rFonts w:hint="eastAsia" w:ascii="仿宋_GB2312" w:hAnsi="宋体" w:eastAsia="仿宋_GB2312" w:cs="仿宋_GB2312"/>
          <w:i w:val="0"/>
          <w:caps w:val="0"/>
          <w:color w:val="auto"/>
          <w:spacing w:val="0"/>
          <w:sz w:val="32"/>
          <w:szCs w:val="32"/>
          <w:shd w:val="clear" w:fill="FFFFFF"/>
        </w:rPr>
        <w:t>分，绩效评价结果为“优”</w:t>
      </w:r>
      <w:r>
        <w:rPr>
          <w:rFonts w:hint="eastAsia" w:ascii="仿宋_GB2312" w:hAnsi="宋体" w:eastAsia="仿宋_GB2312" w:cs="仿宋_GB2312"/>
          <w:i w:val="0"/>
          <w:caps w:val="0"/>
          <w:color w:val="auto"/>
          <w:spacing w:val="0"/>
          <w:sz w:val="32"/>
          <w:szCs w:val="32"/>
          <w:shd w:val="clear" w:fill="FFFFFF"/>
          <w:lang w:eastAsia="zh-CN"/>
        </w:rPr>
        <w:t>。</w:t>
      </w:r>
    </w:p>
    <w:p w14:paraId="18979F75">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本单位所有项目绩效评价均为自评。</w:t>
      </w:r>
    </w:p>
    <w:p w14:paraId="3322D59E">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（四）单位预算绩效管理制度和核心绩效指标标准体系建设情况。</w:t>
      </w:r>
    </w:p>
    <w:p w14:paraId="549182CA">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lang w:eastAsia="zh-CN"/>
        </w:rPr>
      </w:pPr>
      <w:r>
        <w:rPr>
          <w:rFonts w:hint="eastAsia" w:ascii="Times New Roman" w:hAnsi="Times New Roman"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预算绩效管理制度建设情况</w:t>
      </w:r>
      <w:r>
        <w:rPr>
          <w:rFonts w:hint="eastAsia" w:ascii="仿宋_GB2312" w:hAnsi="仿宋_GB2312" w:eastAsia="仿宋_GB2312" w:cs="仿宋_GB2312"/>
          <w:b w:val="0"/>
          <w:bCs w:val="0"/>
          <w:color w:val="auto"/>
          <w:sz w:val="32"/>
          <w:szCs w:val="32"/>
          <w:lang w:eastAsia="zh-CN"/>
        </w:rPr>
        <w:t>：</w:t>
      </w:r>
    </w:p>
    <w:p w14:paraId="4D2F2766">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w:t>
      </w:r>
      <w:r>
        <w:rPr>
          <w:rFonts w:hint="eastAsia" w:ascii="Times New Roman" w:hAnsi="Times New Roman"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）健全制度体系，夯实管理基础</w:t>
      </w:r>
      <w:r>
        <w:rPr>
          <w:rFonts w:hint="eastAsia" w:ascii="仿宋_GB2312" w:hAnsi="仿宋_GB2312" w:eastAsia="仿宋_GB2312" w:cs="仿宋_GB2312"/>
          <w:b w:val="0"/>
          <w:bCs w:val="0"/>
          <w:color w:val="auto"/>
          <w:sz w:val="32"/>
          <w:szCs w:val="32"/>
          <w:lang w:eastAsia="zh-CN"/>
        </w:rPr>
        <w:t>。</w:t>
      </w:r>
    </w:p>
    <w:p w14:paraId="7378D527">
      <w:pPr>
        <w:pStyle w:val="3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我单位严格按照预算绩效管理相关政策规定，结合自身职能和工作实际，建立了全方位、全过程、全覆盖的预算绩效管理制度体系。已制定完善单位预算绩效管理实施办法，配套细化绩效目标编制、绩效运行监控、绩效自评、重点绩效评价、结果应用等专项工作规程。同时建立制度动态更新机制，根据财政最新政策要求及时修订完善相关条款，确保制度合规适用、贴合实际。</w:t>
      </w:r>
    </w:p>
    <w:p w14:paraId="5DF408D4">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w:t>
      </w:r>
      <w:r>
        <w:rPr>
          <w:rFonts w:hint="eastAsia" w:ascii="Times New Roman" w:hAnsi="Times New Roman"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）明确职责分工，压实管理责任</w:t>
      </w:r>
      <w:r>
        <w:rPr>
          <w:rFonts w:hint="eastAsia" w:ascii="仿宋_GB2312" w:hAnsi="仿宋_GB2312" w:eastAsia="仿宋_GB2312" w:cs="仿宋_GB2312"/>
          <w:b w:val="0"/>
          <w:bCs w:val="0"/>
          <w:color w:val="auto"/>
          <w:sz w:val="32"/>
          <w:szCs w:val="32"/>
          <w:lang w:eastAsia="zh-CN"/>
        </w:rPr>
        <w:t>。</w:t>
      </w:r>
    </w:p>
    <w:p w14:paraId="7F736B59">
      <w:pPr>
        <w:pStyle w:val="3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明确财务部门、各业务科室、监督部门绩效管理职责。财务部门牵头统筹整体绩效管理工作，负责绩效审核、监控调度、评价组织及资料归档；各业务科室作为项目绩效第一责任主体，负责绩效目标编制、日常监控、问题整改和项目落地实施；监督部门负责全程督查、绩效信息公开及整改督办，形成分工明确、协同联动、齐抓共管的工作格局。</w:t>
      </w:r>
    </w:p>
    <w:p w14:paraId="469FDEB8">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w:t>
      </w:r>
      <w:r>
        <w:rPr>
          <w:rFonts w:hint="eastAsia" w:ascii="Times New Roman" w:hAnsi="Times New Roman"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）严格制度执行，落实全过程绩效管理</w:t>
      </w:r>
      <w:r>
        <w:rPr>
          <w:rFonts w:hint="eastAsia" w:ascii="仿宋_GB2312" w:hAnsi="仿宋_GB2312" w:eastAsia="仿宋_GB2312" w:cs="仿宋_GB2312"/>
          <w:b w:val="0"/>
          <w:bCs w:val="0"/>
          <w:color w:val="auto"/>
          <w:sz w:val="32"/>
          <w:szCs w:val="32"/>
          <w:lang w:eastAsia="zh-CN"/>
        </w:rPr>
        <w:t>。</w:t>
      </w:r>
    </w:p>
    <w:p w14:paraId="1949F610">
      <w:pPr>
        <w:pStyle w:val="3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一是事前严审绩效目标，所有预算项目全部编制绩效目标，无目标不立项、无目标不预算，重大项目常态化开展事前绩效评估。二是事中强化动态监控，定期开展绩效运行监控，跟踪资金执行进度、项目实施成效，及时发现资金闲置、进度滞后、绩效偏差等问题，逐项整改。三是事后做实绩效评价，年度全覆盖开展项目绩效自评</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四是强化结果刚性应用，将绩效评价结果与年度预算编制、资金分配、项目调整直接挂钩，落实“花钱必问效、无效必问责”的管理要求。</w:t>
      </w:r>
    </w:p>
    <w:p w14:paraId="025D5242">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lang w:eastAsia="zh-CN"/>
        </w:rPr>
      </w:pPr>
      <w:r>
        <w:rPr>
          <w:rFonts w:hint="eastAsia" w:ascii="Times New Roman" w:hAnsi="Times New Roman"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核心绩效指标标准体系建设情况</w:t>
      </w:r>
      <w:r>
        <w:rPr>
          <w:rFonts w:hint="eastAsia" w:ascii="仿宋_GB2312" w:hAnsi="仿宋_GB2312" w:eastAsia="仿宋_GB2312" w:cs="仿宋_GB2312"/>
          <w:b w:val="0"/>
          <w:bCs w:val="0"/>
          <w:color w:val="auto"/>
          <w:sz w:val="32"/>
          <w:szCs w:val="32"/>
          <w:lang w:eastAsia="zh-CN"/>
        </w:rPr>
        <w:t>：</w:t>
      </w:r>
    </w:p>
    <w:p w14:paraId="19AC006A">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w:t>
      </w:r>
      <w:r>
        <w:rPr>
          <w:rFonts w:hint="eastAsia" w:ascii="Times New Roman" w:hAnsi="Times New Roman"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）构建标准化指标体系</w:t>
      </w:r>
      <w:r>
        <w:rPr>
          <w:rFonts w:hint="eastAsia" w:ascii="仿宋_GB2312" w:hAnsi="仿宋_GB2312" w:eastAsia="仿宋_GB2312" w:cs="仿宋_GB2312"/>
          <w:b w:val="0"/>
          <w:bCs w:val="0"/>
          <w:color w:val="auto"/>
          <w:sz w:val="32"/>
          <w:szCs w:val="32"/>
          <w:lang w:eastAsia="zh-CN"/>
        </w:rPr>
        <w:t>。</w:t>
      </w:r>
    </w:p>
    <w:p w14:paraId="68D0DB94">
      <w:pPr>
        <w:pStyle w:val="3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我单位围绕整体履职目标和年度重点工作，分类建立部门整体绩效指标+项目专项绩效指标标准体系，全面涵盖产出指标、效益指标、满意度指标三大类别。其中产出指标细化为数量、质量、时效、成本指标；效益指标涵盖社会效益、可持续影响等指标；同步设置服务对象满意度指标，实现所有预算项目指标全覆盖。</w:t>
      </w:r>
    </w:p>
    <w:p w14:paraId="3F9AE2B4">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w:t>
      </w:r>
      <w:r>
        <w:rPr>
          <w:rFonts w:hint="eastAsia" w:ascii="Times New Roman" w:hAnsi="Times New Roman"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）规范指标设置管理</w:t>
      </w:r>
      <w:r>
        <w:rPr>
          <w:rFonts w:hint="eastAsia" w:ascii="仿宋_GB2312" w:hAnsi="仿宋_GB2312" w:eastAsia="仿宋_GB2312" w:cs="仿宋_GB2312"/>
          <w:b w:val="0"/>
          <w:bCs w:val="0"/>
          <w:color w:val="auto"/>
          <w:sz w:val="32"/>
          <w:szCs w:val="32"/>
          <w:lang w:eastAsia="zh-CN"/>
        </w:rPr>
        <w:t>。</w:t>
      </w:r>
    </w:p>
    <w:p w14:paraId="7F3B8681">
      <w:pPr>
        <w:pStyle w:val="3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结合单位业务类型，梳理建立标准化绩效指标库，覆盖日常运行、专项业务、设备购置、维护保障等各类项目。严格按照可量化、可考核、可监控、可评价原则设定指标值，参照行业标准、历史数据、年度工作计划科学测算，杜绝虚化、泛化、无法落地的指标，大幅提升绩效目标编制的规范性、精准性和科学性。同时建立指标动态更新机制，每年根据政策调整、业务变化更新扩充指标库，优化指标结构。</w:t>
      </w:r>
    </w:p>
    <w:p w14:paraId="550977FB">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w:t>
      </w:r>
      <w:r>
        <w:rPr>
          <w:rFonts w:hint="eastAsia" w:ascii="Times New Roman" w:hAnsi="Times New Roman"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）强化指标体系实际应用</w:t>
      </w:r>
      <w:r>
        <w:rPr>
          <w:rFonts w:hint="eastAsia" w:ascii="仿宋_GB2312" w:hAnsi="仿宋_GB2312" w:eastAsia="仿宋_GB2312" w:cs="仿宋_GB2312"/>
          <w:b w:val="0"/>
          <w:bCs w:val="0"/>
          <w:color w:val="auto"/>
          <w:sz w:val="32"/>
          <w:szCs w:val="32"/>
          <w:lang w:eastAsia="zh-CN"/>
        </w:rPr>
        <w:t>。</w:t>
      </w:r>
    </w:p>
    <w:p w14:paraId="5CB7BF2D">
      <w:pPr>
        <w:pStyle w:val="3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方正小标宋简体" w:hAnsi="方正小标宋简体" w:eastAsia="方正小标宋简体" w:cs="方正小标宋简体"/>
          <w:color w:val="auto"/>
          <w:kern w:val="0"/>
          <w:sz w:val="36"/>
          <w:szCs w:val="36"/>
        </w:rPr>
      </w:pPr>
      <w:r>
        <w:rPr>
          <w:rFonts w:hint="eastAsia" w:ascii="仿宋_GB2312" w:hAnsi="仿宋_GB2312" w:eastAsia="仿宋_GB2312" w:cs="仿宋_GB2312"/>
          <w:b w:val="0"/>
          <w:bCs w:val="0"/>
          <w:color w:val="auto"/>
          <w:sz w:val="32"/>
          <w:szCs w:val="32"/>
        </w:rPr>
        <w:t>在预算编制环节，统一调用标准化绩效指标模板编制绩效目标，有效提升编报质量；在绩效监控和评价环节，以标准化核心指标为考核标尺，客观核查项目完成情况，保障绩效评价公平规范；依托指标完成情况开展问题分析，精准查找资金使用和项目管理短板，持续优化项目实施方案和资金配置结构，充分发挥绩效指标的导向和约束作用。</w:t>
      </w:r>
    </w:p>
    <w:p w14:paraId="30F23915">
      <w:pPr>
        <w:keepNext w:val="0"/>
        <w:keepLines w:val="0"/>
        <w:pageBreakBefore w:val="0"/>
        <w:widowControl w:val="0"/>
        <w:kinsoku/>
        <w:wordWrap/>
        <w:overflowPunct/>
        <w:topLinePunct w:val="0"/>
        <w:autoSpaceDE/>
        <w:autoSpaceDN/>
        <w:bidi w:val="0"/>
        <w:adjustRightInd/>
        <w:snapToGrid/>
        <w:spacing w:line="560" w:lineRule="exact"/>
        <w:textAlignment w:val="auto"/>
        <w:rPr>
          <w:rFonts w:ascii="方正小标宋简体" w:hAnsi="方正小标宋简体" w:eastAsia="方正小标宋简体" w:cs="方正小标宋简体"/>
          <w:color w:val="auto"/>
          <w:kern w:val="0"/>
          <w:sz w:val="36"/>
          <w:szCs w:val="36"/>
        </w:rPr>
      </w:pPr>
      <w:r>
        <w:rPr>
          <w:rFonts w:ascii="方正小标宋简体" w:hAnsi="方正小标宋简体" w:eastAsia="方正小标宋简体" w:cs="方正小标宋简体"/>
          <w:color w:val="auto"/>
          <w:kern w:val="0"/>
          <w:sz w:val="36"/>
          <w:szCs w:val="36"/>
        </w:rPr>
        <w:br w:type="page"/>
      </w:r>
    </w:p>
    <w:p w14:paraId="117DC82C">
      <w:pPr>
        <w:pStyle w:val="3"/>
        <w:keepNext w:val="0"/>
        <w:keepLines w:val="0"/>
        <w:pageBreakBefore w:val="0"/>
        <w:widowControl w:val="0"/>
        <w:kinsoku/>
        <w:wordWrap/>
        <w:overflowPunct/>
        <w:topLinePunct w:val="0"/>
        <w:autoSpaceDE/>
        <w:autoSpaceDN/>
        <w:bidi w:val="0"/>
        <w:adjustRightInd/>
        <w:snapToGrid/>
        <w:spacing w:before="0" w:after="0" w:line="560" w:lineRule="exact"/>
        <w:ind w:left="0" w:right="0"/>
        <w:jc w:val="center"/>
        <w:textAlignment w:val="auto"/>
        <w:rPr>
          <w:rFonts w:ascii="Times New Roman" w:hAnsi="Times New Roman" w:eastAsia="Times New Roman" w:cs="Times New Roman"/>
          <w:b w:val="0"/>
          <w:bCs w:val="0"/>
          <w:color w:val="auto"/>
          <w:kern w:val="0"/>
          <w:sz w:val="44"/>
          <w:szCs w:val="44"/>
        </w:rPr>
      </w:pPr>
      <w:r>
        <w:rPr>
          <w:rFonts w:ascii="方正小标宋简体" w:hAnsi="方正小标宋简体" w:eastAsia="方正小标宋简体" w:cs="方正小标宋简体"/>
          <w:b w:val="0"/>
          <w:bCs w:val="0"/>
          <w:color w:val="auto"/>
          <w:kern w:val="0"/>
          <w:sz w:val="44"/>
          <w:szCs w:val="44"/>
        </w:rPr>
        <w:t>第三部分</w:t>
      </w:r>
      <w:r>
        <w:rPr>
          <w:rFonts w:hint="eastAsia" w:ascii="方正小标宋简体" w:hAnsi="方正小标宋简体" w:eastAsia="方正小标宋简体" w:cs="方正小标宋简体"/>
          <w:b w:val="0"/>
          <w:bCs w:val="0"/>
          <w:color w:val="auto"/>
          <w:kern w:val="0"/>
          <w:sz w:val="44"/>
          <w:szCs w:val="44"/>
          <w:lang w:val="en-US" w:eastAsia="zh-CN"/>
        </w:rPr>
        <w:t xml:space="preserve">  </w:t>
      </w:r>
      <w:r>
        <w:rPr>
          <w:rFonts w:ascii="方正小标宋简体" w:hAnsi="方正小标宋简体" w:eastAsia="方正小标宋简体" w:cs="方正小标宋简体"/>
          <w:b w:val="0"/>
          <w:bCs w:val="0"/>
          <w:color w:val="auto"/>
          <w:kern w:val="0"/>
          <w:sz w:val="44"/>
          <w:szCs w:val="44"/>
        </w:rPr>
        <w:t>名词解释</w:t>
      </w:r>
    </w:p>
    <w:p w14:paraId="11B8C8DA">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color w:val="auto"/>
          <w:kern w:val="0"/>
          <w:sz w:val="32"/>
          <w:szCs w:val="32"/>
        </w:rPr>
      </w:pPr>
    </w:p>
    <w:p w14:paraId="7143F2D5">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一、财政拨款收入：</w:t>
      </w:r>
      <w:r>
        <w:rPr>
          <w:rFonts w:hint="eastAsia" w:ascii="仿宋_GB2312" w:hAnsi="仿宋_GB2312" w:eastAsia="仿宋_GB2312" w:cs="仿宋_GB2312"/>
          <w:color w:val="auto"/>
          <w:kern w:val="0"/>
          <w:sz w:val="32"/>
          <w:szCs w:val="32"/>
        </w:rPr>
        <w:t>从同级财政部门取得的各类财政拨款，包括一般公共预算财政拨款、政府性基金预算财政拨款、国有资本经营预算财政拨款。</w:t>
      </w:r>
    </w:p>
    <w:p w14:paraId="616EE5C4">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二</w:t>
      </w:r>
      <w:r>
        <w:rPr>
          <w:rFonts w:hint="eastAsia" w:ascii="仿宋_GB2312" w:hAnsi="仿宋_GB2312" w:eastAsia="仿宋_GB2312" w:cs="仿宋_GB2312"/>
          <w:b/>
          <w:bCs/>
          <w:color w:val="auto"/>
          <w:kern w:val="0"/>
          <w:sz w:val="32"/>
          <w:szCs w:val="32"/>
        </w:rPr>
        <w:t>、年初结转和结余：</w:t>
      </w:r>
      <w:r>
        <w:rPr>
          <w:rFonts w:hint="eastAsia" w:ascii="仿宋_GB2312" w:hAnsi="仿宋_GB2312" w:eastAsia="仿宋_GB2312" w:cs="仿宋_GB2312"/>
          <w:color w:val="auto"/>
          <w:kern w:val="0"/>
          <w:sz w:val="32"/>
          <w:szCs w:val="32"/>
        </w:rPr>
        <w:t>指单位上年结转本年使用的基本支出结转、项目支出结转和结余、经营结余。</w:t>
      </w:r>
    </w:p>
    <w:p w14:paraId="3CACCFBB">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三</w:t>
      </w:r>
      <w:r>
        <w:rPr>
          <w:rFonts w:hint="eastAsia" w:ascii="仿宋_GB2312" w:hAnsi="仿宋_GB2312" w:eastAsia="仿宋_GB2312" w:cs="仿宋_GB2312"/>
          <w:b/>
          <w:bCs/>
          <w:color w:val="auto"/>
          <w:kern w:val="0"/>
          <w:sz w:val="32"/>
          <w:szCs w:val="32"/>
        </w:rPr>
        <w:t>、年末结转和结余资金：</w:t>
      </w:r>
      <w:r>
        <w:rPr>
          <w:rFonts w:hint="eastAsia" w:ascii="仿宋_GB2312" w:hAnsi="仿宋_GB2312" w:eastAsia="仿宋_GB2312" w:cs="仿宋_GB2312"/>
          <w:color w:val="auto"/>
          <w:kern w:val="0"/>
          <w:sz w:val="32"/>
          <w:szCs w:val="32"/>
        </w:rPr>
        <w:t>指单位结转下年的基本支出结转、项目支出结转和结余、经营结余。</w:t>
      </w:r>
    </w:p>
    <w:p w14:paraId="32195F72">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四</w:t>
      </w:r>
      <w:r>
        <w:rPr>
          <w:rFonts w:hint="eastAsia" w:ascii="仿宋_GB2312" w:hAnsi="仿宋_GB2312" w:eastAsia="仿宋_GB2312" w:cs="仿宋_GB2312"/>
          <w:b/>
          <w:bCs/>
          <w:color w:val="auto"/>
          <w:kern w:val="0"/>
          <w:sz w:val="32"/>
          <w:szCs w:val="32"/>
        </w:rPr>
        <w:t>、基本支出：</w:t>
      </w:r>
      <w:r>
        <w:rPr>
          <w:rFonts w:hint="eastAsia" w:ascii="仿宋_GB2312" w:hAnsi="仿宋_GB2312" w:eastAsia="仿宋_GB2312" w:cs="仿宋_GB2312"/>
          <w:color w:val="auto"/>
          <w:kern w:val="0"/>
          <w:sz w:val="32"/>
          <w:szCs w:val="32"/>
        </w:rPr>
        <w:t>指为保障机构正常运转、完成日常工作任务所发生的支出，包括人员经费和公用经费。</w:t>
      </w:r>
    </w:p>
    <w:p w14:paraId="15D1AEDE">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五</w:t>
      </w:r>
      <w:r>
        <w:rPr>
          <w:rFonts w:hint="eastAsia" w:ascii="仿宋_GB2312" w:hAnsi="仿宋_GB2312" w:eastAsia="仿宋_GB2312" w:cs="仿宋_GB2312"/>
          <w:b/>
          <w:bCs/>
          <w:color w:val="auto"/>
          <w:kern w:val="0"/>
          <w:sz w:val="32"/>
          <w:szCs w:val="32"/>
        </w:rPr>
        <w:t>、项目支出：</w:t>
      </w:r>
      <w:r>
        <w:rPr>
          <w:rFonts w:hint="eastAsia" w:ascii="仿宋_GB2312" w:hAnsi="仿宋_GB2312" w:eastAsia="仿宋_GB2312" w:cs="仿宋_GB2312"/>
          <w:color w:val="auto"/>
          <w:kern w:val="0"/>
          <w:sz w:val="32"/>
          <w:szCs w:val="32"/>
        </w:rPr>
        <w:t>指单位为完成特定的行政工作任务或事业发展目标，在基本支出之外发生的各项支出。</w:t>
      </w:r>
    </w:p>
    <w:p w14:paraId="2D831140">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六、“三公”经费：</w:t>
      </w:r>
      <w:r>
        <w:rPr>
          <w:rFonts w:hint="eastAsia" w:ascii="仿宋_GB2312" w:hAnsi="仿宋_GB2312" w:eastAsia="仿宋_GB2312" w:cs="仿宋_GB2312"/>
          <w:color w:val="auto"/>
          <w:kern w:val="0"/>
          <w:sz w:val="32"/>
          <w:szCs w:val="32"/>
        </w:rPr>
        <w:t>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新能源汽车充电费、维修费、过路过桥费、保险费、安全奖励费用等支出；公务接待费反映单位按规定开支的各类公务接待（含外宾接待）费用。</w:t>
      </w:r>
    </w:p>
    <w:p w14:paraId="3D975ECD">
      <w:pPr>
        <w:pStyle w:val="29"/>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Times New Roman" w:hAnsi="Times New Roman" w:eastAsia="Times New Roman" w:cs="Times New Roman"/>
          <w:color w:val="auto"/>
          <w:kern w:val="0"/>
          <w:sz w:val="24"/>
        </w:rPr>
      </w:pPr>
      <w:r>
        <w:rPr>
          <w:rFonts w:hint="eastAsia" w:ascii="仿宋_GB2312" w:hAnsi="仿宋_GB2312" w:eastAsia="仿宋_GB2312" w:cs="仿宋_GB2312"/>
          <w:b/>
          <w:bCs/>
          <w:color w:val="auto"/>
          <w:kern w:val="0"/>
          <w:sz w:val="32"/>
          <w:szCs w:val="32"/>
        </w:rPr>
        <w:t>七、机关运行经费：</w:t>
      </w:r>
      <w:r>
        <w:rPr>
          <w:rFonts w:hint="eastAsia" w:ascii="仿宋_GB2312" w:hAnsi="仿宋_GB2312" w:eastAsia="仿宋_GB2312" w:cs="仿宋_GB2312"/>
          <w:color w:val="auto"/>
          <w:kern w:val="0"/>
          <w:sz w:val="32"/>
          <w:szCs w:val="32"/>
        </w:rPr>
        <w:t>指行政单位和参照公务员法管理的事业单位财政拨款基本支出中的公用经费支出。</w:t>
      </w:r>
    </w:p>
    <w:p w14:paraId="006CAA9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rPr>
        <w:t xml:space="preserve">第四部分 </w:t>
      </w:r>
      <w:r>
        <w:rPr>
          <w:rFonts w:hint="eastAsia" w:ascii="方正小标宋简体" w:hAnsi="方正小标宋简体" w:eastAsia="方正小标宋简体" w:cs="方正小标宋简体"/>
          <w:color w:val="auto"/>
          <w:kern w:val="0"/>
          <w:sz w:val="44"/>
          <w:szCs w:val="44"/>
          <w:lang w:val="en-US" w:eastAsia="zh-CN"/>
        </w:rPr>
        <w:t xml:space="preserve"> </w:t>
      </w:r>
      <w:r>
        <w:rPr>
          <w:rFonts w:hint="eastAsia" w:ascii="方正小标宋简体" w:hAnsi="方正小标宋简体" w:eastAsia="方正小标宋简体" w:cs="方正小标宋简体"/>
          <w:color w:val="auto"/>
          <w:kern w:val="0"/>
          <w:sz w:val="44"/>
          <w:szCs w:val="44"/>
        </w:rPr>
        <w:t>决算公开联系方式</w:t>
      </w:r>
    </w:p>
    <w:p w14:paraId="4E268D7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rPr>
        <w:t>及信息反馈渠道</w:t>
      </w:r>
    </w:p>
    <w:p w14:paraId="457D32F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kern w:val="0"/>
          <w:sz w:val="32"/>
          <w:szCs w:val="32"/>
        </w:rPr>
      </w:pPr>
    </w:p>
    <w:p w14:paraId="4AE9242D">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本单位决算公开信息反馈和联系方式：</w:t>
      </w:r>
    </w:p>
    <w:p w14:paraId="04B2B3B9">
      <w:pPr>
        <w:pStyle w:val="2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联系人：</w:t>
      </w:r>
      <w:r>
        <w:rPr>
          <w:rFonts w:hint="eastAsia" w:ascii="仿宋_GB2312" w:hAnsi="仿宋_GB2312" w:eastAsia="仿宋_GB2312" w:cs="仿宋_GB2312"/>
          <w:color w:val="auto"/>
          <w:kern w:val="0"/>
          <w:sz w:val="32"/>
          <w:szCs w:val="32"/>
          <w:lang w:eastAsia="en-US"/>
        </w:rPr>
        <w:t>付艳丽</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联系电话：</w:t>
      </w:r>
      <w:r>
        <w:rPr>
          <w:rFonts w:hint="eastAsia" w:ascii="Times New Roman" w:hAnsi="Times New Roman" w:eastAsia="仿宋_GB2312" w:cs="仿宋_GB2312"/>
          <w:color w:val="auto"/>
          <w:kern w:val="0"/>
          <w:sz w:val="32"/>
          <w:szCs w:val="32"/>
          <w:lang w:val="en-US" w:eastAsia="zh-CN"/>
        </w:rPr>
        <w:t>13722107866</w:t>
      </w:r>
    </w:p>
    <w:p w14:paraId="478C5034">
      <w:pPr>
        <w:pStyle w:val="29"/>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kern w:val="0"/>
          <w:sz w:val="32"/>
          <w:szCs w:val="32"/>
          <w:lang w:val="en-US" w:eastAsia="zh-CN"/>
        </w:rPr>
      </w:pPr>
    </w:p>
    <w:p w14:paraId="33445FD4">
      <w:pPr>
        <w:pStyle w:val="3"/>
        <w:keepNext w:val="0"/>
        <w:keepLines w:val="0"/>
        <w:pageBreakBefore w:val="0"/>
        <w:widowControl w:val="0"/>
        <w:kinsoku/>
        <w:wordWrap/>
        <w:overflowPunct/>
        <w:topLinePunct w:val="0"/>
        <w:autoSpaceDE/>
        <w:autoSpaceDN/>
        <w:bidi w:val="0"/>
        <w:adjustRightInd/>
        <w:snapToGrid/>
        <w:spacing w:before="299" w:after="299" w:line="560" w:lineRule="exact"/>
        <w:jc w:val="center"/>
        <w:textAlignment w:val="auto"/>
        <w:rPr>
          <w:rFonts w:hint="default"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b w:val="0"/>
          <w:bCs w:val="0"/>
          <w:color w:val="auto"/>
          <w:kern w:val="0"/>
          <w:sz w:val="44"/>
          <w:szCs w:val="44"/>
        </w:rPr>
        <w:t>第五部分</w:t>
      </w:r>
      <w:r>
        <w:rPr>
          <w:rFonts w:hint="eastAsia" w:ascii="方正小标宋简体" w:hAnsi="方正小标宋简体" w:eastAsia="方正小标宋简体" w:cs="方正小标宋简体"/>
          <w:b w:val="0"/>
          <w:bCs w:val="0"/>
          <w:color w:val="auto"/>
          <w:kern w:val="0"/>
          <w:sz w:val="44"/>
          <w:szCs w:val="44"/>
          <w:lang w:val="en-US" w:eastAsia="zh-CN"/>
        </w:rPr>
        <w:t xml:space="preserve">  </w:t>
      </w:r>
      <w:r>
        <w:rPr>
          <w:rFonts w:hint="eastAsia" w:ascii="方正小标宋简体" w:hAnsi="方正小标宋简体" w:eastAsia="方正小标宋简体" w:cs="方正小标宋简体"/>
          <w:b w:val="0"/>
          <w:bCs w:val="0"/>
          <w:color w:val="auto"/>
          <w:kern w:val="0"/>
          <w:sz w:val="44"/>
          <w:szCs w:val="44"/>
        </w:rPr>
        <w:t>单位决算表</w:t>
      </w:r>
    </w:p>
    <w:p w14:paraId="7333E49F">
      <w:pPr>
        <w:keepNext w:val="0"/>
        <w:keepLines w:val="0"/>
        <w:pageBreakBefore w:val="0"/>
        <w:widowControl w:val="0"/>
        <w:tabs>
          <w:tab w:val="left" w:pos="630"/>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一、收入支出决算总表</w:t>
      </w:r>
    </w:p>
    <w:p w14:paraId="22837D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二、收入决算表</w:t>
      </w:r>
    </w:p>
    <w:p w14:paraId="6EB7C9FC">
      <w:pPr>
        <w:keepNext w:val="0"/>
        <w:keepLines w:val="0"/>
        <w:pageBreakBefore w:val="0"/>
        <w:widowControl w:val="0"/>
        <w:tabs>
          <w:tab w:val="left" w:pos="630"/>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三、支出决算表</w:t>
      </w:r>
    </w:p>
    <w:p w14:paraId="07E07E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四、财政拨款收入支出决算总表</w:t>
      </w:r>
    </w:p>
    <w:p w14:paraId="309399F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五、一般公共预算财政拨款支出决算表</w:t>
      </w:r>
    </w:p>
    <w:p w14:paraId="053E41E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六、一般公共预算财政拨款基本支出决算明细表</w:t>
      </w:r>
    </w:p>
    <w:p w14:paraId="45933F9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七、一般公共预算财政拨款项目支出决算明细表</w:t>
      </w:r>
    </w:p>
    <w:p w14:paraId="2A5A01D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八、政府性基金预算财政拨款收入支出决算表</w:t>
      </w:r>
    </w:p>
    <w:p w14:paraId="025670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九、国有资本经营预算财政拨</w:t>
      </w:r>
      <w:bookmarkStart w:id="1" w:name="_GoBack"/>
      <w:bookmarkEnd w:id="1"/>
      <w:r>
        <w:rPr>
          <w:rFonts w:hint="eastAsia" w:ascii="仿宋_GB2312" w:hAnsi="仿宋_GB2312" w:eastAsia="仿宋_GB2312" w:cs="仿宋_GB2312"/>
          <w:color w:val="auto"/>
          <w:kern w:val="0"/>
          <w:sz w:val="32"/>
          <w:szCs w:val="32"/>
        </w:rPr>
        <w:t>款支出决算表</w:t>
      </w:r>
    </w:p>
    <w:p w14:paraId="330FEF9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十、财政拨款“三公”经费支出决算表</w:t>
      </w:r>
    </w:p>
    <w:p w14:paraId="622B66A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十一、机构运行经费支出、国有资产占用情况及政府采购支出信息表</w:t>
      </w:r>
    </w:p>
    <w:p w14:paraId="6363788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p>
    <w:p w14:paraId="72DCC7B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color w:val="auto"/>
        </w:rPr>
      </w:pPr>
      <w:r>
        <w:rPr>
          <w:rFonts w:hint="eastAsia" w:ascii="仿宋_GB2312" w:hAnsi="仿宋_GB2312" w:eastAsia="仿宋_GB2312" w:cs="仿宋_GB2312"/>
          <w:color w:val="auto"/>
          <w:kern w:val="0"/>
          <w:sz w:val="32"/>
          <w:szCs w:val="32"/>
        </w:rPr>
        <w:t>备注：按决算公开编制要求，决算公开报告及公开表的计数单位为万元，而</w:t>
      </w:r>
      <w:r>
        <w:rPr>
          <w:rFonts w:hint="eastAsia" w:ascii="Times New Roman" w:hAnsi="Times New Roman" w:eastAsia="仿宋_GB2312" w:cs="仿宋_GB2312"/>
          <w:color w:val="auto"/>
          <w:kern w:val="0"/>
          <w:sz w:val="32"/>
          <w:szCs w:val="32"/>
          <w:lang w:eastAsia="zh-CN"/>
        </w:rPr>
        <w:t>202</w:t>
      </w:r>
      <w:r>
        <w:rPr>
          <w:rFonts w:hint="eastAsia" w:ascii="Times New Roman" w:hAnsi="Times New Roman"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年决算编制是以元为计数单位，因此小数点后第二位存在四舍五入的差异。</w:t>
      </w:r>
      <w:bookmarkEnd w:id="0"/>
    </w:p>
    <w:sectPr>
      <w:footerReference r:id="rId5" w:type="default"/>
      <w:pgSz w:w="11850" w:h="16783"/>
      <w:pgMar w:top="1440" w:right="1800" w:bottom="1440" w:left="1800" w:header="0" w:footer="720"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A1783">
    <w:pPr>
      <w:pStyle w:val="11"/>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BE3AE1">
                          <w:pPr>
                            <w:pStyle w:val="11"/>
                            <w:jc w:val="cente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lang w:val="zh-CN"/>
                            </w:rPr>
                            <w:t>26</w:t>
                          </w:r>
                          <w:r>
                            <w:rPr>
                              <w:rFonts w:hint="eastAsia" w:ascii="宋体" w:hAnsi="宋体" w:cs="宋体"/>
                              <w:sz w:val="28"/>
                              <w:szCs w:val="28"/>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CBE3AE1">
                    <w:pPr>
                      <w:pStyle w:val="11"/>
                      <w:jc w:val="cente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lang w:val="zh-CN"/>
                      </w:rPr>
                      <w:t>26</w:t>
                    </w:r>
                    <w:r>
                      <w:rPr>
                        <w:rFonts w:hint="eastAsia" w:ascii="宋体" w:hAnsi="宋体" w:cs="宋体"/>
                        <w:sz w:val="28"/>
                        <w:szCs w:val="28"/>
                        <w:lang w:val="zh-CN"/>
                      </w:rPr>
                      <w:fldChar w:fldCharType="end"/>
                    </w:r>
                  </w:p>
                </w:txbxContent>
              </v:textbox>
            </v:shape>
          </w:pict>
        </mc:Fallback>
      </mc:AlternateContent>
    </w:r>
  </w:p>
  <w:p w14:paraId="0304E1D4">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C67B5">
    <w:pPr>
      <w:pStyle w:val="11"/>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FCE95C">
                          <w:pPr>
                            <w:pStyle w:val="11"/>
                            <w:jc w:val="cente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lang w:val="zh-CN"/>
                            </w:rPr>
                            <w:t>26</w:t>
                          </w:r>
                          <w:r>
                            <w:rPr>
                              <w:rFonts w:hint="eastAsia" w:ascii="宋体" w:hAnsi="宋体" w:cs="宋体"/>
                              <w:sz w:val="28"/>
                              <w:szCs w:val="28"/>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BFCE95C">
                    <w:pPr>
                      <w:pStyle w:val="11"/>
                      <w:jc w:val="cente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lang w:val="zh-CN"/>
                      </w:rPr>
                      <w:t>26</w:t>
                    </w:r>
                    <w:r>
                      <w:rPr>
                        <w:rFonts w:hint="eastAsia" w:ascii="宋体" w:hAnsi="宋体" w:cs="宋体"/>
                        <w:sz w:val="28"/>
                        <w:szCs w:val="28"/>
                        <w:lang w:val="zh-CN"/>
                      </w:rPr>
                      <w:fldChar w:fldCharType="end"/>
                    </w:r>
                  </w:p>
                </w:txbxContent>
              </v:textbox>
            </v:shape>
          </w:pict>
        </mc:Fallback>
      </mc:AlternateContent>
    </w:r>
  </w:p>
  <w:p w14:paraId="7B3F6402">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022CC">
    <w:pPr>
      <w:jc w:val="center"/>
    </w:pPr>
    <w:r>
      <w:rPr>
        <w:sz w:val="21"/>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98D948">
                          <w:pPr>
                            <w:jc w:val="center"/>
                          </w:pPr>
                          <w:r>
                            <w:rPr>
                              <w:rFonts w:ascii="宋体" w:hAnsi="宋体" w:eastAsia="宋体" w:cs="宋体"/>
                              <w:sz w:val="24"/>
                              <w:szCs w:val="40"/>
                            </w:rPr>
                            <w:fldChar w:fldCharType="begin"/>
                          </w:r>
                          <w:r>
                            <w:rPr>
                              <w:rFonts w:ascii="宋体" w:hAnsi="宋体" w:eastAsia="宋体" w:cs="宋体"/>
                              <w:sz w:val="24"/>
                              <w:szCs w:val="40"/>
                            </w:rPr>
                            <w:instrText xml:space="preserve"> PAGE </w:instrText>
                          </w:r>
                          <w:r>
                            <w:rPr>
                              <w:rFonts w:ascii="宋体" w:hAnsi="宋体" w:eastAsia="宋体" w:cs="宋体"/>
                              <w:sz w:val="24"/>
                              <w:szCs w:val="40"/>
                            </w:rPr>
                            <w:fldChar w:fldCharType="separate"/>
                          </w:r>
                          <w:r>
                            <w:rPr>
                              <w:rFonts w:ascii="宋体" w:hAnsi="宋体" w:eastAsia="宋体" w:cs="宋体"/>
                              <w:sz w:val="24"/>
                              <w:szCs w:val="40"/>
                            </w:rPr>
                            <w:t>30</w:t>
                          </w:r>
                          <w:r>
                            <w:rPr>
                              <w:rFonts w:ascii="宋体" w:hAnsi="宋体" w:eastAsia="宋体" w:cs="宋体"/>
                              <w:sz w:val="24"/>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998D948">
                    <w:pPr>
                      <w:jc w:val="center"/>
                    </w:pPr>
                    <w:r>
                      <w:rPr>
                        <w:rFonts w:ascii="宋体" w:hAnsi="宋体" w:eastAsia="宋体" w:cs="宋体"/>
                        <w:sz w:val="24"/>
                        <w:szCs w:val="40"/>
                      </w:rPr>
                      <w:fldChar w:fldCharType="begin"/>
                    </w:r>
                    <w:r>
                      <w:rPr>
                        <w:rFonts w:ascii="宋体" w:hAnsi="宋体" w:eastAsia="宋体" w:cs="宋体"/>
                        <w:sz w:val="24"/>
                        <w:szCs w:val="40"/>
                      </w:rPr>
                      <w:instrText xml:space="preserve"> PAGE </w:instrText>
                    </w:r>
                    <w:r>
                      <w:rPr>
                        <w:rFonts w:ascii="宋体" w:hAnsi="宋体" w:eastAsia="宋体" w:cs="宋体"/>
                        <w:sz w:val="24"/>
                        <w:szCs w:val="40"/>
                      </w:rPr>
                      <w:fldChar w:fldCharType="separate"/>
                    </w:r>
                    <w:r>
                      <w:rPr>
                        <w:rFonts w:ascii="宋体" w:hAnsi="宋体" w:eastAsia="宋体" w:cs="宋体"/>
                        <w:sz w:val="24"/>
                        <w:szCs w:val="40"/>
                      </w:rPr>
                      <w:t>30</w:t>
                    </w:r>
                    <w:r>
                      <w:rPr>
                        <w:rFonts w:ascii="宋体" w:hAnsi="宋体" w:eastAsia="宋体" w:cs="宋体"/>
                        <w:sz w:val="24"/>
                        <w:szCs w:val="4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87015"/>
    <w:rsid w:val="02780657"/>
    <w:rsid w:val="045852E0"/>
    <w:rsid w:val="05592E14"/>
    <w:rsid w:val="05EC7721"/>
    <w:rsid w:val="066627CD"/>
    <w:rsid w:val="069B5E85"/>
    <w:rsid w:val="07E80768"/>
    <w:rsid w:val="09BE032D"/>
    <w:rsid w:val="0C22721A"/>
    <w:rsid w:val="0D2876F3"/>
    <w:rsid w:val="129417A0"/>
    <w:rsid w:val="14E15E93"/>
    <w:rsid w:val="17D95C16"/>
    <w:rsid w:val="19B841D0"/>
    <w:rsid w:val="1C1C51CD"/>
    <w:rsid w:val="1DE24495"/>
    <w:rsid w:val="20E24A66"/>
    <w:rsid w:val="22661CC7"/>
    <w:rsid w:val="2462790D"/>
    <w:rsid w:val="25274883"/>
    <w:rsid w:val="28CD3F7A"/>
    <w:rsid w:val="2BCA28D2"/>
    <w:rsid w:val="2DA33FA8"/>
    <w:rsid w:val="2DAA64E5"/>
    <w:rsid w:val="2FE07B7A"/>
    <w:rsid w:val="31FF064C"/>
    <w:rsid w:val="353809B3"/>
    <w:rsid w:val="37073CC0"/>
    <w:rsid w:val="37AD1CFB"/>
    <w:rsid w:val="39927F2D"/>
    <w:rsid w:val="39BC6E76"/>
    <w:rsid w:val="3B5B45F3"/>
    <w:rsid w:val="3C235892"/>
    <w:rsid w:val="3C4A7A30"/>
    <w:rsid w:val="3DB76732"/>
    <w:rsid w:val="3E242DF5"/>
    <w:rsid w:val="3FBF656F"/>
    <w:rsid w:val="40C6379C"/>
    <w:rsid w:val="40E81665"/>
    <w:rsid w:val="412A5EA9"/>
    <w:rsid w:val="44147C33"/>
    <w:rsid w:val="478529C1"/>
    <w:rsid w:val="478A7058"/>
    <w:rsid w:val="48BA77F2"/>
    <w:rsid w:val="49C55288"/>
    <w:rsid w:val="4B571824"/>
    <w:rsid w:val="4D1A50AF"/>
    <w:rsid w:val="4FFF7D13"/>
    <w:rsid w:val="53CC1CB3"/>
    <w:rsid w:val="56E168FB"/>
    <w:rsid w:val="59117D0A"/>
    <w:rsid w:val="5B4B308A"/>
    <w:rsid w:val="5EEA2FEC"/>
    <w:rsid w:val="64EF3F4F"/>
    <w:rsid w:val="67323505"/>
    <w:rsid w:val="67B7760E"/>
    <w:rsid w:val="6962450F"/>
    <w:rsid w:val="69AF6E96"/>
    <w:rsid w:val="69C53A7F"/>
    <w:rsid w:val="6B2E265E"/>
    <w:rsid w:val="6CF21856"/>
    <w:rsid w:val="71880FDC"/>
    <w:rsid w:val="77705990"/>
    <w:rsid w:val="77D16319"/>
    <w:rsid w:val="786D0B95"/>
    <w:rsid w:val="7A4C7D70"/>
    <w:rsid w:val="7A9E4AAA"/>
    <w:rsid w:val="7B064FE8"/>
    <w:rsid w:val="7B333595"/>
    <w:rsid w:val="7DD2559D"/>
    <w:rsid w:val="7E8022BB"/>
    <w:rsid w:val="7ECD71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8"/>
    <w:qFormat/>
    <w:uiPriority w:val="0"/>
    <w:pPr>
      <w:keepNext/>
      <w:keepLines/>
      <w:spacing w:before="260" w:after="260" w:line="416" w:lineRule="auto"/>
      <w:outlineLvl w:val="2"/>
    </w:pPr>
    <w:rPr>
      <w:b/>
      <w:bCs/>
      <w:sz w:val="32"/>
      <w:szCs w:val="32"/>
    </w:rPr>
  </w:style>
  <w:style w:type="paragraph" w:styleId="5">
    <w:name w:val="heading 4"/>
    <w:basedOn w:val="1"/>
    <w:next w:val="1"/>
    <w:link w:val="23"/>
    <w:qFormat/>
    <w:uiPriority w:val="0"/>
    <w:pPr>
      <w:keepNext/>
      <w:keepLines/>
      <w:spacing w:before="280" w:after="290" w:line="376" w:lineRule="auto"/>
      <w:outlineLvl w:val="3"/>
    </w:pPr>
    <w:rPr>
      <w:rFonts w:ascii="Cambria" w:hAnsi="Cambria"/>
      <w:b/>
      <w:bCs/>
      <w:sz w:val="28"/>
      <w:szCs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sz w:val="20"/>
      <w:szCs w:val="20"/>
    </w:rPr>
  </w:style>
  <w:style w:type="paragraph" w:styleId="7">
    <w:name w:val="Document Map"/>
    <w:basedOn w:val="1"/>
    <w:qFormat/>
    <w:uiPriority w:val="0"/>
    <w:pPr>
      <w:shd w:val="clear" w:color="auto" w:fill="000080"/>
    </w:pPr>
  </w:style>
  <w:style w:type="paragraph" w:styleId="8">
    <w:name w:val="toc 5"/>
    <w:basedOn w:val="1"/>
    <w:next w:val="1"/>
    <w:qFormat/>
    <w:uiPriority w:val="0"/>
    <w:pPr>
      <w:ind w:left="840"/>
      <w:jc w:val="left"/>
    </w:pPr>
    <w:rPr>
      <w:sz w:val="20"/>
      <w:szCs w:val="20"/>
    </w:rPr>
  </w:style>
  <w:style w:type="paragraph" w:styleId="9">
    <w:name w:val="toc 3"/>
    <w:basedOn w:val="1"/>
    <w:next w:val="1"/>
    <w:qFormat/>
    <w:uiPriority w:val="0"/>
    <w:pPr>
      <w:adjustRightInd w:val="0"/>
      <w:snapToGrid w:val="0"/>
      <w:spacing w:line="360" w:lineRule="auto"/>
      <w:ind w:firstLine="400" w:firstLineChars="400"/>
      <w:jc w:val="left"/>
    </w:pPr>
    <w:rPr>
      <w:sz w:val="24"/>
      <w:szCs w:val="20"/>
    </w:rPr>
  </w:style>
  <w:style w:type="paragraph" w:styleId="10">
    <w:name w:val="toc 8"/>
    <w:basedOn w:val="1"/>
    <w:next w:val="1"/>
    <w:qFormat/>
    <w:uiPriority w:val="0"/>
    <w:pPr>
      <w:ind w:left="1470"/>
      <w:jc w:val="left"/>
    </w:pPr>
    <w:rPr>
      <w:sz w:val="20"/>
      <w:szCs w:val="20"/>
    </w:rPr>
  </w:style>
  <w:style w:type="paragraph" w:styleId="11">
    <w:name w:val="footer"/>
    <w:basedOn w:val="1"/>
    <w:link w:val="26"/>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pPr>
      <w:adjustRightInd w:val="0"/>
      <w:snapToGrid w:val="0"/>
      <w:spacing w:line="360" w:lineRule="auto"/>
      <w:jc w:val="left"/>
    </w:pPr>
    <w:rPr>
      <w:b/>
      <w:bCs/>
      <w:sz w:val="24"/>
      <w:szCs w:val="20"/>
    </w:rPr>
  </w:style>
  <w:style w:type="paragraph" w:styleId="14">
    <w:name w:val="toc 4"/>
    <w:basedOn w:val="1"/>
    <w:next w:val="1"/>
    <w:qFormat/>
    <w:uiPriority w:val="0"/>
    <w:pPr>
      <w:ind w:left="630"/>
      <w:jc w:val="left"/>
    </w:pPr>
    <w:rPr>
      <w:sz w:val="20"/>
      <w:szCs w:val="20"/>
    </w:rPr>
  </w:style>
  <w:style w:type="paragraph" w:styleId="15">
    <w:name w:val="toc 6"/>
    <w:basedOn w:val="1"/>
    <w:next w:val="1"/>
    <w:qFormat/>
    <w:uiPriority w:val="0"/>
    <w:pPr>
      <w:ind w:left="1050"/>
      <w:jc w:val="left"/>
    </w:pPr>
    <w:rPr>
      <w:sz w:val="20"/>
      <w:szCs w:val="20"/>
    </w:rPr>
  </w:style>
  <w:style w:type="paragraph" w:styleId="16">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7">
    <w:name w:val="toc 9"/>
    <w:basedOn w:val="1"/>
    <w:next w:val="1"/>
    <w:qFormat/>
    <w:uiPriority w:val="0"/>
    <w:pPr>
      <w:ind w:left="1680"/>
      <w:jc w:val="left"/>
    </w:pPr>
    <w:rPr>
      <w:sz w:val="20"/>
      <w:szCs w:val="20"/>
    </w:rPr>
  </w:style>
  <w:style w:type="paragraph" w:styleId="1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21">
    <w:name w:val="page number"/>
    <w:basedOn w:val="20"/>
    <w:qFormat/>
    <w:uiPriority w:val="0"/>
  </w:style>
  <w:style w:type="character" w:styleId="22">
    <w:name w:val="Hyperlink"/>
    <w:basedOn w:val="20"/>
    <w:qFormat/>
    <w:uiPriority w:val="0"/>
    <w:rPr>
      <w:color w:val="0000FF"/>
      <w:u w:val="single"/>
    </w:rPr>
  </w:style>
  <w:style w:type="character" w:customStyle="1" w:styleId="23">
    <w:name w:val="标题 4 Char"/>
    <w:basedOn w:val="20"/>
    <w:link w:val="5"/>
    <w:qFormat/>
    <w:uiPriority w:val="0"/>
    <w:rPr>
      <w:rFonts w:ascii="Cambria" w:hAnsi="Cambria"/>
      <w:b/>
      <w:bCs/>
      <w:kern w:val="2"/>
      <w:sz w:val="28"/>
      <w:szCs w:val="28"/>
    </w:rPr>
  </w:style>
  <w:style w:type="paragraph" w:styleId="24">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5">
    <w:name w:val="无间隔 Char"/>
    <w:link w:val="24"/>
    <w:qFormat/>
    <w:locked/>
    <w:uiPriority w:val="0"/>
    <w:rPr>
      <w:rFonts w:eastAsia="仿宋_GB2312"/>
      <w:sz w:val="30"/>
      <w:szCs w:val="22"/>
      <w:lang w:bidi="ar-SA"/>
    </w:rPr>
  </w:style>
  <w:style w:type="character" w:customStyle="1" w:styleId="26">
    <w:name w:val="页脚 Char"/>
    <w:basedOn w:val="20"/>
    <w:link w:val="11"/>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Char"/>
    <w:basedOn w:val="20"/>
    <w:link w:val="4"/>
    <w:qFormat/>
    <w:uiPriority w:val="0"/>
    <w:rPr>
      <w:b/>
      <w:bCs/>
      <w:kern w:val="2"/>
      <w:sz w:val="32"/>
      <w:szCs w:val="32"/>
    </w:rPr>
  </w:style>
  <w:style w:type="paragraph" w:customStyle="1" w:styleId="29">
    <w:name w:val="MsoNormal"/>
    <w:basedOn w:val="1"/>
    <w:qFormat/>
    <w:uiPriority w:val="0"/>
  </w:style>
  <w:style w:type="paragraph" w:customStyle="1" w:styleId="30">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支出决算图</a:t>
            </a:r>
          </a:p>
        </c:rich>
      </c:tx>
      <c:layout>
        <c:manualLayout>
          <c:xMode val="edge"/>
          <c:yMode val="edge"/>
          <c:x val="0.4052244683644"/>
          <c:y val="0.00958247775496235"/>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0211517688274259"/>
                  <c:y val="-0.195920620808377"/>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96.16%</a:t>
                    </a:r>
                  </a:p>
                </c:rich>
              </c:tx>
              <c:numFmt formatCode="General"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0932800751879699"/>
                      <c:h val="0.105932203389831"/>
                    </c:manualLayout>
                  </c15:layout>
                </c:ext>
              </c:extLst>
            </c:dLbl>
            <c:dLbl>
              <c:idx val="1"/>
              <c:layout>
                <c:manualLayout>
                  <c:x val="0.000293393521291728"/>
                  <c:y val="0.018623566218541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3.84%</a:t>
                    </a:r>
                  </a:p>
                </c:rich>
              </c:tx>
              <c:numFmt formatCode="General"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0822368421052632"/>
                      <c:h val="0.0847457627118644"/>
                    </c:manualLayout>
                  </c15:layout>
                </c:ext>
              </c:extLst>
            </c:dLbl>
            <c:numFmt formatCode="General"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[工作簿1]Sheet1!$A$4:$B$4</c:f>
              <c:strCache>
                <c:ptCount val="2"/>
                <c:pt idx="0">
                  <c:v>基本支出</c:v>
                </c:pt>
                <c:pt idx="1">
                  <c:v>项目支出</c:v>
                </c:pt>
              </c:strCache>
            </c:strRef>
          </c:cat>
          <c:val>
            <c:numRef>
              <c:f>[工作簿1]Sheet1!$A$5:$B$5</c:f>
              <c:numCache>
                <c:formatCode>General</c:formatCode>
                <c:ptCount val="2"/>
                <c:pt idx="0">
                  <c:v>96.16</c:v>
                </c:pt>
                <c:pt idx="1">
                  <c:v>3.84</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8db7e4b-052c-4a38-9ffa-c5d1c49eaa6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BB8C3-AB0F-4E54-B888-F65ACC039CA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29</Pages>
  <Words>10327</Words>
  <Characters>11573</Characters>
  <Lines>1</Lines>
  <Paragraphs>1</Paragraphs>
  <TotalTime>54</TotalTime>
  <ScaleCrop>false</ScaleCrop>
  <LinksUpToDate>false</LinksUpToDate>
  <CharactersWithSpaces>11600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わたくし</cp:lastModifiedBy>
  <cp:lastPrinted>2021-04-16T00:45:00Z</cp:lastPrinted>
  <dcterms:modified xsi:type="dcterms:W3CDTF">2026-08-19T08:21:55Z</dcterms:modified>
  <dc:title>××年度××部门/单位</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2052-12.1.0.28043</vt:lpwstr>
  </property>
  <property fmtid="{D5CDD505-2E9C-101B-9397-08002B2CF9AE}" pid="4" name="KSOTemplateDocerSaveRecord">
    <vt:lpwstr>eyJoZGlkIjoiOTBiZmEzNDczOWMxOTIzNjBkMzE1YTk4MDU2ZjczNTYiLCJ1c2VySWQiOiIyOTUzNzkzMyJ9</vt:lpwstr>
  </property>
</Properties>
</file>