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8AA080">
      <w:pPr>
        <w:spacing w:line="360" w:lineRule="auto"/>
        <w:jc w:val="center"/>
        <w:rPr>
          <w:rFonts w:ascii="宋体" w:hAnsi="宋体"/>
          <w:sz w:val="24"/>
        </w:rPr>
      </w:pPr>
    </w:p>
    <w:p w14:paraId="1072CA54">
      <w:pPr>
        <w:spacing w:line="360" w:lineRule="auto"/>
        <w:jc w:val="center"/>
        <w:rPr>
          <w:rFonts w:ascii="宋体" w:hAnsi="宋体"/>
          <w:sz w:val="24"/>
        </w:rPr>
      </w:pPr>
    </w:p>
    <w:p w14:paraId="7D370541">
      <w:pPr>
        <w:spacing w:line="360" w:lineRule="auto"/>
        <w:jc w:val="center"/>
        <w:rPr>
          <w:rFonts w:ascii="宋体" w:hAnsi="宋体"/>
          <w:sz w:val="24"/>
        </w:rPr>
      </w:pPr>
    </w:p>
    <w:p w14:paraId="1B62CBCA">
      <w:pPr>
        <w:spacing w:line="360" w:lineRule="auto"/>
        <w:jc w:val="center"/>
        <w:rPr>
          <w:rFonts w:ascii="宋体" w:hAnsi="宋体"/>
          <w:sz w:val="24"/>
        </w:rPr>
      </w:pPr>
    </w:p>
    <w:p w14:paraId="49E71E94">
      <w:pPr>
        <w:spacing w:line="360" w:lineRule="auto"/>
        <w:jc w:val="center"/>
        <w:rPr>
          <w:rFonts w:ascii="宋体" w:hAnsi="宋体"/>
          <w:b/>
          <w:bCs/>
          <w:sz w:val="52"/>
          <w:szCs w:val="52"/>
        </w:rPr>
      </w:pPr>
      <w:r>
        <w:rPr>
          <w:rFonts w:ascii="宋体" w:hAnsi="宋体"/>
          <w:b/>
          <w:bCs/>
          <w:sz w:val="52"/>
          <w:szCs w:val="52"/>
        </w:rPr>
        <w:t>2025</w:t>
      </w:r>
      <w:r>
        <w:rPr>
          <w:rFonts w:hint="eastAsia" w:ascii="宋体" w:hAnsi="宋体"/>
          <w:b/>
          <w:bCs/>
          <w:sz w:val="52"/>
          <w:szCs w:val="52"/>
        </w:rPr>
        <w:t>年度内蒙古大兴安岭森林公安局北部原始林区分局公开报告</w:t>
      </w:r>
    </w:p>
    <w:p w14:paraId="205770CD">
      <w:pPr>
        <w:spacing w:line="360" w:lineRule="auto"/>
        <w:jc w:val="center"/>
        <w:rPr>
          <w:rFonts w:ascii="宋体" w:hAnsi="宋体"/>
          <w:b/>
          <w:bCs/>
          <w:sz w:val="52"/>
          <w:szCs w:val="52"/>
        </w:rPr>
      </w:pPr>
    </w:p>
    <w:p w14:paraId="0765127C">
      <w:pPr>
        <w:spacing w:line="360" w:lineRule="auto"/>
        <w:jc w:val="center"/>
        <w:rPr>
          <w:rFonts w:ascii="宋体" w:hAnsi="宋体"/>
          <w:b/>
          <w:bCs/>
          <w:sz w:val="52"/>
          <w:szCs w:val="52"/>
        </w:rPr>
      </w:pPr>
    </w:p>
    <w:p w14:paraId="4422EFB5">
      <w:pPr>
        <w:spacing w:line="360" w:lineRule="auto"/>
        <w:jc w:val="center"/>
        <w:rPr>
          <w:rFonts w:ascii="宋体" w:hAnsi="宋体"/>
          <w:b/>
          <w:bCs/>
          <w:sz w:val="52"/>
          <w:szCs w:val="52"/>
        </w:rPr>
      </w:pPr>
    </w:p>
    <w:p w14:paraId="01DFF392">
      <w:pPr>
        <w:spacing w:line="360" w:lineRule="auto"/>
        <w:jc w:val="center"/>
        <w:rPr>
          <w:rFonts w:ascii="宋体" w:hAnsi="宋体"/>
          <w:b/>
          <w:bCs/>
          <w:sz w:val="52"/>
          <w:szCs w:val="52"/>
        </w:rPr>
      </w:pPr>
    </w:p>
    <w:p w14:paraId="3973A3BC">
      <w:pPr>
        <w:spacing w:line="360" w:lineRule="auto"/>
        <w:jc w:val="center"/>
        <w:rPr>
          <w:rFonts w:ascii="宋体" w:hAnsi="宋体"/>
          <w:b/>
          <w:bCs/>
          <w:sz w:val="52"/>
          <w:szCs w:val="52"/>
        </w:rPr>
      </w:pPr>
    </w:p>
    <w:p w14:paraId="15711761">
      <w:pPr>
        <w:ind w:firstLine="2249" w:firstLineChars="700"/>
        <w:rPr>
          <w:rFonts w:ascii="仿宋" w:hAnsi="仿宋" w:eastAsia="仿宋"/>
          <w:b/>
          <w:sz w:val="32"/>
          <w:szCs w:val="32"/>
        </w:rPr>
        <w:sectPr>
          <w:footerReference r:id="rId3" w:type="default"/>
          <w:pgSz w:w="11906" w:h="16838"/>
          <w:pgMar w:top="1440" w:right="1800" w:bottom="1440" w:left="1800" w:header="0" w:footer="720" w:gutter="0"/>
          <w:cols w:space="425" w:num="1"/>
          <w:docGrid w:type="lines" w:linePitch="312" w:charSpace="0"/>
        </w:sectPr>
      </w:pPr>
    </w:p>
    <w:p w14:paraId="717D0741">
      <w:pPr>
        <w:pStyle w:val="29"/>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Times New Roman" w:hAnsi="Times New Roman" w:eastAsia="Times New Roman" w:cs="Times New Roman"/>
          <w:kern w:val="0"/>
          <w:sz w:val="24"/>
        </w:rPr>
      </w:pPr>
      <w:bookmarkStart w:id="0" w:name="a000"/>
      <w:r>
        <w:rPr>
          <w:rFonts w:ascii="仿宋" w:hAnsi="仿宋" w:eastAsia="仿宋" w:cs="仿宋"/>
          <w:b/>
          <w:bCs/>
          <w:kern w:val="0"/>
          <w:sz w:val="48"/>
          <w:szCs w:val="48"/>
        </w:rPr>
        <w:t>目录</w:t>
      </w:r>
    </w:p>
    <w:p w14:paraId="5DC6DB18">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Times New Roman" w:hAnsi="Times New Roman" w:eastAsia="Times New Roman" w:cs="Times New Roman"/>
          <w:kern w:val="0"/>
          <w:sz w:val="24"/>
        </w:rPr>
      </w:pPr>
      <w:r>
        <w:rPr>
          <w:rFonts w:ascii="Times New Roman" w:hAnsi="Times New Roman" w:eastAsia="Times New Roman" w:cs="Times New Roman"/>
          <w:b/>
          <w:bCs/>
          <w:kern w:val="0"/>
          <w:sz w:val="24"/>
        </w:rPr>
        <w:t> </w:t>
      </w:r>
    </w:p>
    <w:p w14:paraId="22F83286">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Times New Roman" w:cs="Times New Roman"/>
          <w:kern w:val="0"/>
          <w:sz w:val="24"/>
        </w:rPr>
      </w:pPr>
      <w:r>
        <w:rPr>
          <w:rFonts w:ascii="黑体" w:hAnsi="黑体" w:eastAsia="黑体" w:cs="黑体"/>
          <w:kern w:val="0"/>
          <w:sz w:val="32"/>
          <w:szCs w:val="32"/>
        </w:rPr>
        <w:t>第一部分</w:t>
      </w:r>
      <w:r>
        <w:rPr>
          <w:rFonts w:ascii="Calibri" w:hAnsi="Calibri" w:eastAsia="Calibri" w:cs="Calibri"/>
          <w:kern w:val="0"/>
          <w:sz w:val="32"/>
          <w:szCs w:val="32"/>
          <w:lang w:eastAsia="en-US"/>
        </w:rPr>
        <w:t> </w:t>
      </w:r>
      <w:r>
        <w:rPr>
          <w:rFonts w:ascii="黑体" w:hAnsi="黑体" w:eastAsia="黑体" w:cs="黑体"/>
          <w:kern w:val="0"/>
          <w:sz w:val="32"/>
          <w:szCs w:val="32"/>
          <w:lang w:eastAsia="en-US"/>
        </w:rPr>
        <w:t xml:space="preserve"> </w:t>
      </w:r>
      <w:r>
        <w:rPr>
          <w:rFonts w:ascii="黑体" w:hAnsi="黑体" w:eastAsia="黑体" w:cs="黑体"/>
          <w:kern w:val="0"/>
          <w:sz w:val="32"/>
          <w:szCs w:val="32"/>
        </w:rPr>
        <w:t>单位概况</w:t>
      </w:r>
    </w:p>
    <w:p w14:paraId="4F6333F3">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一、主要职能、职责</w:t>
      </w:r>
    </w:p>
    <w:p w14:paraId="292C9605">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二、单位机构设置及决算单位构成情况</w:t>
      </w:r>
    </w:p>
    <w:p w14:paraId="75A1E4B7">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Times New Roman" w:cs="Times New Roman"/>
          <w:kern w:val="0"/>
          <w:sz w:val="24"/>
        </w:rPr>
      </w:pPr>
      <w:r>
        <w:rPr>
          <w:rFonts w:hint="eastAsia" w:ascii="仿宋_GB2312" w:hAnsi="仿宋_GB2312" w:eastAsia="仿宋_GB2312" w:cs="仿宋_GB2312"/>
          <w:kern w:val="0"/>
          <w:sz w:val="32"/>
          <w:szCs w:val="32"/>
        </w:rPr>
        <w:t>三、</w:t>
      </w:r>
      <w:r>
        <w:rPr>
          <w:rFonts w:hint="eastAsia" w:ascii="仿宋_GB2312" w:hAnsi="仿宋_GB2312" w:eastAsia="仿宋_GB2312" w:cs="仿宋_GB2312"/>
          <w:kern w:val="0"/>
          <w:sz w:val="32"/>
          <w:szCs w:val="32"/>
          <w:lang w:eastAsia="en-US"/>
        </w:rPr>
        <w:t>2025</w:t>
      </w:r>
      <w:r>
        <w:rPr>
          <w:rFonts w:hint="eastAsia" w:ascii="仿宋_GB2312" w:hAnsi="仿宋_GB2312" w:eastAsia="仿宋_GB2312" w:cs="仿宋_GB2312"/>
          <w:kern w:val="0"/>
          <w:sz w:val="32"/>
          <w:szCs w:val="32"/>
        </w:rPr>
        <w:t>年度单位主要工作完成情况</w:t>
      </w:r>
    </w:p>
    <w:p w14:paraId="37FCB930">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Times New Roman" w:cs="Times New Roman"/>
          <w:kern w:val="0"/>
          <w:sz w:val="24"/>
        </w:rPr>
      </w:pPr>
      <w:r>
        <w:rPr>
          <w:rFonts w:ascii="黑体" w:hAnsi="黑体" w:eastAsia="黑体" w:cs="黑体"/>
          <w:kern w:val="0"/>
          <w:sz w:val="32"/>
          <w:szCs w:val="32"/>
        </w:rPr>
        <w:t>第二部分</w:t>
      </w:r>
      <w:r>
        <w:rPr>
          <w:rFonts w:ascii="黑体" w:hAnsi="黑体" w:eastAsia="黑体" w:cs="黑体"/>
          <w:kern w:val="0"/>
          <w:sz w:val="32"/>
          <w:szCs w:val="32"/>
          <w:lang w:eastAsia="en-US"/>
        </w:rPr>
        <w:t xml:space="preserve">  </w:t>
      </w:r>
      <w:r>
        <w:rPr>
          <w:rFonts w:ascii="黑体" w:hAnsi="黑体" w:eastAsia="黑体" w:cs="黑体"/>
          <w:kern w:val="0"/>
          <w:sz w:val="32"/>
          <w:szCs w:val="32"/>
        </w:rPr>
        <w:t>单位决算情况说明</w:t>
      </w:r>
    </w:p>
    <w:p w14:paraId="70F1ECFC">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一、收入支出决算总体情况说明</w:t>
      </w:r>
    </w:p>
    <w:p w14:paraId="36FEA796">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二、收入决算情况说明</w:t>
      </w:r>
    </w:p>
    <w:p w14:paraId="1631932A">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三、支出决算情况说明</w:t>
      </w:r>
    </w:p>
    <w:p w14:paraId="2D958552">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四、财政拨款收入支出决算总体情况说明</w:t>
      </w:r>
    </w:p>
    <w:p w14:paraId="1E4ECAB3">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五、一般公共预算财政拨款支出决算情况说明</w:t>
      </w:r>
    </w:p>
    <w:p w14:paraId="7BFF58AB">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六、一般公共预算财政拨款基本支出决算情况说明</w:t>
      </w:r>
    </w:p>
    <w:p w14:paraId="4D524BB5">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七、一般公共预算财政拨款项目支出决算情况说明</w:t>
      </w:r>
    </w:p>
    <w:p w14:paraId="44B8A857">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八、财政拨款“三公”经费支出决算情况说明</w:t>
      </w:r>
    </w:p>
    <w:p w14:paraId="7C4FAF37">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九、政府性基金预算财政拨款支出决算情况说明</w:t>
      </w:r>
    </w:p>
    <w:p w14:paraId="05676A71">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十、国有资本经营预算财政拨款支出决算情况说明</w:t>
      </w:r>
    </w:p>
    <w:p w14:paraId="38431F0D">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十一、机关运行经费（公用经费）支出决算情况说明</w:t>
      </w:r>
    </w:p>
    <w:p w14:paraId="795B6895">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十二、政府采购支出决算情况说明</w:t>
      </w:r>
    </w:p>
    <w:p w14:paraId="1C1A0D4E">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十三、国有资产占用情况说明</w:t>
      </w:r>
    </w:p>
    <w:p w14:paraId="39DE2EBC">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Times New Roman" w:cs="Times New Roman"/>
          <w:kern w:val="0"/>
          <w:sz w:val="24"/>
        </w:rPr>
      </w:pPr>
      <w:r>
        <w:rPr>
          <w:rFonts w:hint="eastAsia" w:ascii="仿宋_GB2312" w:hAnsi="仿宋_GB2312" w:eastAsia="仿宋_GB2312" w:cs="仿宋_GB2312"/>
          <w:kern w:val="0"/>
          <w:sz w:val="32"/>
          <w:szCs w:val="32"/>
        </w:rPr>
        <w:t>十四、预算绩效情况说明</w:t>
      </w:r>
    </w:p>
    <w:p w14:paraId="0520BA42">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黑体" w:hAnsi="黑体" w:eastAsia="黑体" w:cs="黑体"/>
          <w:kern w:val="0"/>
          <w:sz w:val="32"/>
          <w:szCs w:val="32"/>
        </w:rPr>
      </w:pPr>
      <w:r>
        <w:rPr>
          <w:rFonts w:ascii="黑体" w:hAnsi="黑体" w:eastAsia="黑体" w:cs="黑体"/>
          <w:kern w:val="0"/>
          <w:sz w:val="32"/>
          <w:szCs w:val="32"/>
        </w:rPr>
        <w:t>第三部分</w:t>
      </w:r>
      <w:r>
        <w:rPr>
          <w:rFonts w:ascii="黑体" w:hAnsi="黑体" w:eastAsia="黑体" w:cs="黑体"/>
          <w:kern w:val="0"/>
          <w:sz w:val="32"/>
          <w:szCs w:val="32"/>
          <w:lang w:eastAsia="en-US"/>
        </w:rPr>
        <w:t xml:space="preserve">  </w:t>
      </w:r>
      <w:r>
        <w:rPr>
          <w:rFonts w:ascii="黑体" w:hAnsi="黑体" w:eastAsia="黑体" w:cs="黑体"/>
          <w:kern w:val="0"/>
          <w:sz w:val="32"/>
          <w:szCs w:val="32"/>
        </w:rPr>
        <w:t>名词解释</w:t>
      </w:r>
    </w:p>
    <w:p w14:paraId="29BC2E72">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黑体" w:hAnsi="黑体" w:eastAsia="黑体" w:cs="黑体"/>
          <w:kern w:val="0"/>
          <w:sz w:val="32"/>
          <w:szCs w:val="32"/>
        </w:rPr>
      </w:pPr>
      <w:r>
        <w:rPr>
          <w:rFonts w:ascii="黑体" w:hAnsi="黑体" w:eastAsia="黑体" w:cs="黑体"/>
          <w:kern w:val="0"/>
          <w:sz w:val="32"/>
          <w:szCs w:val="32"/>
        </w:rPr>
        <w:t>第四部分</w:t>
      </w:r>
      <w:r>
        <w:rPr>
          <w:rFonts w:ascii="黑体" w:hAnsi="黑体" w:eastAsia="黑体" w:cs="黑体"/>
          <w:kern w:val="0"/>
          <w:sz w:val="32"/>
          <w:szCs w:val="32"/>
          <w:lang w:eastAsia="en-US"/>
        </w:rPr>
        <w:t xml:space="preserve">  </w:t>
      </w:r>
      <w:r>
        <w:rPr>
          <w:rFonts w:ascii="黑体" w:hAnsi="黑体" w:eastAsia="黑体" w:cs="黑体"/>
          <w:kern w:val="0"/>
          <w:sz w:val="32"/>
          <w:szCs w:val="32"/>
        </w:rPr>
        <w:t>决算公开联系方式及信息反馈渠道</w:t>
      </w:r>
    </w:p>
    <w:p w14:paraId="70EA9127">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Times New Roman" w:cs="Times New Roman"/>
          <w:kern w:val="0"/>
          <w:sz w:val="24"/>
        </w:rPr>
      </w:pPr>
      <w:r>
        <w:rPr>
          <w:rFonts w:ascii="黑体" w:hAnsi="黑体" w:eastAsia="黑体" w:cs="黑体"/>
          <w:kern w:val="0"/>
          <w:sz w:val="32"/>
          <w:szCs w:val="32"/>
        </w:rPr>
        <w:t>第五部分</w:t>
      </w:r>
      <w:r>
        <w:rPr>
          <w:rFonts w:ascii="黑体" w:hAnsi="黑体" w:eastAsia="黑体" w:cs="黑体"/>
          <w:kern w:val="0"/>
          <w:sz w:val="32"/>
          <w:szCs w:val="32"/>
          <w:lang w:eastAsia="en-US"/>
        </w:rPr>
        <w:t xml:space="preserve">  </w:t>
      </w:r>
      <w:r>
        <w:rPr>
          <w:rFonts w:ascii="黑体" w:hAnsi="黑体" w:eastAsia="黑体" w:cs="黑体"/>
          <w:kern w:val="0"/>
          <w:sz w:val="32"/>
          <w:szCs w:val="32"/>
        </w:rPr>
        <w:t>单位决算表</w:t>
      </w:r>
    </w:p>
    <w:p w14:paraId="0DACB7FE">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一、收入支出决算总表</w:t>
      </w:r>
    </w:p>
    <w:p w14:paraId="00CBBBDF">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二、收入决算表</w:t>
      </w:r>
    </w:p>
    <w:p w14:paraId="5F35B2CA">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三、支出决算表</w:t>
      </w:r>
    </w:p>
    <w:p w14:paraId="33CB8AE2">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四、财政拨款收入支出决算总表</w:t>
      </w:r>
    </w:p>
    <w:p w14:paraId="00F3068D">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五、一般公共预算财政拨款支出决算表</w:t>
      </w:r>
    </w:p>
    <w:p w14:paraId="46AA533E">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六、一般公共预算财政拨款基本支出决算明细表</w:t>
      </w:r>
    </w:p>
    <w:p w14:paraId="3980CB9F">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七、一般公共预算财政拨款项目支出决算明细表</w:t>
      </w:r>
    </w:p>
    <w:p w14:paraId="400DD631">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八、政府性基金预算财政拨款收入支出决算表</w:t>
      </w:r>
    </w:p>
    <w:p w14:paraId="1D8287DE">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九、国有资本经营预算财政拨款收入支出决算表</w:t>
      </w:r>
    </w:p>
    <w:p w14:paraId="0BA76B7A">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十、财政拨款“三公”经费支出决算表</w:t>
      </w:r>
    </w:p>
    <w:p w14:paraId="5F66F35C">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Times New Roman" w:cs="Times New Roman"/>
          <w:kern w:val="0"/>
          <w:sz w:val="24"/>
        </w:rPr>
      </w:pPr>
      <w:r>
        <w:rPr>
          <w:rFonts w:hint="eastAsia" w:ascii="仿宋_GB2312" w:hAnsi="仿宋_GB2312" w:eastAsia="仿宋_GB2312" w:cs="仿宋_GB2312"/>
          <w:kern w:val="0"/>
          <w:sz w:val="32"/>
          <w:szCs w:val="32"/>
        </w:rPr>
        <w:t>十一、机关运行经费支出、国有资产占用情况及政府采购支出信息表</w:t>
      </w:r>
    </w:p>
    <w:p w14:paraId="28ACC5C7">
      <w:pPr>
        <w:pStyle w:val="29"/>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Times New Roman" w:hAnsi="Times New Roman" w:eastAsia="Times New Roman" w:cs="Times New Roman"/>
          <w:kern w:val="0"/>
          <w:sz w:val="24"/>
        </w:rPr>
      </w:pPr>
    </w:p>
    <w:p w14:paraId="0214AE67">
      <w:pPr>
        <w:pStyle w:val="29"/>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Times New Roman" w:hAnsi="Times New Roman" w:eastAsia="Times New Roman" w:cs="Times New Roman"/>
          <w:kern w:val="0"/>
          <w:sz w:val="24"/>
        </w:rPr>
      </w:pPr>
    </w:p>
    <w:p w14:paraId="122939AD">
      <w:pPr>
        <w:pStyle w:val="29"/>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Times New Roman" w:hAnsi="Times New Roman" w:eastAsia="Times New Roman" w:cs="Times New Roman"/>
          <w:kern w:val="0"/>
          <w:sz w:val="24"/>
        </w:rPr>
      </w:pPr>
    </w:p>
    <w:p w14:paraId="1F847482">
      <w:pPr>
        <w:pStyle w:val="29"/>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Times New Roman" w:hAnsi="Times New Roman" w:eastAsia="Times New Roman" w:cs="Times New Roman"/>
          <w:kern w:val="0"/>
          <w:sz w:val="24"/>
        </w:rPr>
      </w:pPr>
    </w:p>
    <w:p w14:paraId="21B7C494">
      <w:pPr>
        <w:pStyle w:val="29"/>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Times New Roman" w:hAnsi="Times New Roman" w:eastAsia="Times New Roman" w:cs="Times New Roman"/>
          <w:kern w:val="0"/>
          <w:sz w:val="24"/>
        </w:rPr>
      </w:pPr>
    </w:p>
    <w:p w14:paraId="52C4CFE8">
      <w:pPr>
        <w:pStyle w:val="29"/>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Times New Roman" w:hAnsi="Times New Roman" w:eastAsia="Times New Roman" w:cs="Times New Roman"/>
          <w:kern w:val="0"/>
          <w:sz w:val="24"/>
        </w:rPr>
      </w:pPr>
    </w:p>
    <w:p w14:paraId="407A39A3">
      <w:pPr>
        <w:pStyle w:val="29"/>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Times New Roman" w:hAnsi="Times New Roman" w:eastAsia="Times New Roman" w:cs="Times New Roman"/>
          <w:kern w:val="0"/>
          <w:sz w:val="24"/>
        </w:rPr>
      </w:pPr>
    </w:p>
    <w:p w14:paraId="7F45807C">
      <w:pPr>
        <w:pStyle w:val="29"/>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Times New Roman" w:hAnsi="Times New Roman" w:eastAsia="Times New Roman" w:cs="Times New Roman"/>
          <w:kern w:val="0"/>
          <w:sz w:val="24"/>
        </w:rPr>
      </w:pPr>
    </w:p>
    <w:p w14:paraId="0B6BAAC6">
      <w:pPr>
        <w:pStyle w:val="29"/>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Times New Roman" w:hAnsi="Times New Roman" w:eastAsia="Times New Roman" w:cs="Times New Roman"/>
          <w:kern w:val="0"/>
          <w:sz w:val="24"/>
        </w:rPr>
      </w:pPr>
    </w:p>
    <w:p w14:paraId="6A87B35C">
      <w:pPr>
        <w:pStyle w:val="29"/>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Times New Roman" w:hAnsi="Times New Roman" w:eastAsia="Times New Roman" w:cs="Times New Roman"/>
          <w:kern w:val="0"/>
          <w:sz w:val="24"/>
        </w:rPr>
      </w:pPr>
    </w:p>
    <w:p w14:paraId="30EB100F">
      <w:pPr>
        <w:pStyle w:val="29"/>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Times New Roman" w:hAnsi="Times New Roman" w:eastAsia="Times New Roman" w:cs="Times New Roman"/>
          <w:kern w:val="0"/>
          <w:sz w:val="24"/>
        </w:rPr>
      </w:pPr>
    </w:p>
    <w:p w14:paraId="74673F1F">
      <w:pPr>
        <w:pStyle w:val="3"/>
        <w:keepNext w:val="0"/>
        <w:keepLines w:val="0"/>
        <w:pageBreakBefore w:val="0"/>
        <w:widowControl/>
        <w:kinsoku/>
        <w:wordWrap/>
        <w:overflowPunct/>
        <w:topLinePunct w:val="0"/>
        <w:autoSpaceDE/>
        <w:autoSpaceDN/>
        <w:bidi w:val="0"/>
        <w:adjustRightInd/>
        <w:snapToGrid/>
        <w:spacing w:before="0" w:after="0" w:line="560" w:lineRule="exact"/>
        <w:ind w:left="0" w:right="0"/>
        <w:jc w:val="both"/>
        <w:textAlignment w:val="auto"/>
        <w:rPr>
          <w:rFonts w:ascii="方正小标宋简体" w:hAnsi="方正小标宋简体" w:eastAsia="方正小标宋简体" w:cs="方正小标宋简体"/>
          <w:b w:val="0"/>
          <w:bCs w:val="0"/>
          <w:kern w:val="0"/>
          <w:sz w:val="36"/>
          <w:szCs w:val="36"/>
        </w:rPr>
      </w:pPr>
    </w:p>
    <w:p w14:paraId="121C633B">
      <w:pPr>
        <w:pStyle w:val="29"/>
        <w:keepNext w:val="0"/>
        <w:keepLines w:val="0"/>
        <w:pageBreakBefore w:val="0"/>
        <w:widowControl/>
        <w:kinsoku/>
        <w:wordWrap/>
        <w:overflowPunct/>
        <w:topLinePunct w:val="0"/>
        <w:autoSpaceDE/>
        <w:autoSpaceDN/>
        <w:bidi w:val="0"/>
        <w:adjustRightInd/>
        <w:snapToGrid/>
        <w:spacing w:line="560" w:lineRule="exact"/>
        <w:ind w:firstLine="643"/>
        <w:jc w:val="left"/>
        <w:textAlignment w:val="auto"/>
        <w:rPr>
          <w:rFonts w:ascii="方正小标宋简体" w:hAnsi="方正小标宋简体" w:eastAsia="方正小标宋简体" w:cs="方正小标宋简体"/>
          <w:b w:val="0"/>
          <w:bCs w:val="0"/>
          <w:kern w:val="0"/>
          <w:sz w:val="32"/>
          <w:szCs w:val="32"/>
        </w:rPr>
      </w:pPr>
    </w:p>
    <w:p w14:paraId="7F436AF6">
      <w:pPr>
        <w:pStyle w:val="3"/>
        <w:keepNext w:val="0"/>
        <w:keepLines w:val="0"/>
        <w:pageBreakBefore w:val="0"/>
        <w:widowControl/>
        <w:kinsoku/>
        <w:wordWrap/>
        <w:overflowPunct/>
        <w:topLinePunct w:val="0"/>
        <w:autoSpaceDE/>
        <w:autoSpaceDN/>
        <w:bidi w:val="0"/>
        <w:adjustRightInd/>
        <w:snapToGrid/>
        <w:spacing w:before="0" w:after="0" w:line="560" w:lineRule="exact"/>
        <w:ind w:left="0" w:right="0"/>
        <w:jc w:val="center"/>
        <w:textAlignment w:val="auto"/>
        <w:rPr>
          <w:rFonts w:ascii="Times New Roman" w:hAnsi="Times New Roman" w:eastAsia="Times New Roman" w:cs="Times New Roman"/>
          <w:b/>
          <w:bCs/>
          <w:kern w:val="0"/>
          <w:sz w:val="36"/>
          <w:szCs w:val="36"/>
        </w:rPr>
      </w:pPr>
      <w:r>
        <w:rPr>
          <w:rFonts w:ascii="方正小标宋简体" w:hAnsi="方正小标宋简体" w:eastAsia="方正小标宋简体" w:cs="方正小标宋简体"/>
          <w:b w:val="0"/>
          <w:bCs w:val="0"/>
          <w:kern w:val="0"/>
          <w:sz w:val="44"/>
          <w:szCs w:val="44"/>
        </w:rPr>
        <w:t>第一部分</w:t>
      </w:r>
      <w:r>
        <w:rPr>
          <w:rFonts w:ascii="方正小标宋简体" w:hAnsi="方正小标宋简体" w:eastAsia="方正小标宋简体" w:cs="方正小标宋简体"/>
          <w:b w:val="0"/>
          <w:bCs w:val="0"/>
          <w:kern w:val="0"/>
          <w:sz w:val="44"/>
          <w:szCs w:val="44"/>
          <w:lang w:eastAsia="en-US"/>
        </w:rPr>
        <w:t xml:space="preserve">  </w:t>
      </w:r>
      <w:r>
        <w:rPr>
          <w:rFonts w:ascii="方正小标宋简体" w:hAnsi="方正小标宋简体" w:eastAsia="方正小标宋简体" w:cs="方正小标宋简体"/>
          <w:b w:val="0"/>
          <w:bCs w:val="0"/>
          <w:kern w:val="0"/>
          <w:sz w:val="44"/>
          <w:szCs w:val="44"/>
        </w:rPr>
        <w:t>单位概况</w:t>
      </w:r>
    </w:p>
    <w:p w14:paraId="2EEB926A">
      <w:pPr>
        <w:pStyle w:val="29"/>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黑体" w:hAnsi="黑体" w:eastAsia="黑体" w:cs="黑体"/>
          <w:b/>
          <w:bCs/>
          <w:kern w:val="0"/>
          <w:sz w:val="32"/>
          <w:szCs w:val="32"/>
        </w:rPr>
      </w:pPr>
    </w:p>
    <w:p w14:paraId="3FB453ED">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Times New Roman" w:cs="Times New Roman"/>
          <w:kern w:val="0"/>
          <w:sz w:val="24"/>
        </w:rPr>
      </w:pPr>
      <w:r>
        <w:rPr>
          <w:rFonts w:ascii="黑体" w:hAnsi="黑体" w:eastAsia="黑体" w:cs="黑体"/>
          <w:b w:val="0"/>
          <w:bCs w:val="0"/>
          <w:kern w:val="0"/>
          <w:sz w:val="32"/>
          <w:szCs w:val="32"/>
        </w:rPr>
        <w:t>一、主要职能、职责</w:t>
      </w:r>
    </w:p>
    <w:p w14:paraId="19D7375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rPr>
        <w:t>贯彻执行国家有关公安工作的方针、政策，结合本地工作实际，制定保护本辖区森林资源和野生动植物资源工作方案，维护辖区社会治安秩序、森林资源安全。</w:t>
      </w:r>
    </w:p>
    <w:p w14:paraId="7AA8E48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2.</w:t>
      </w:r>
      <w:r>
        <w:rPr>
          <w:rFonts w:hint="eastAsia" w:ascii="仿宋_GB2312" w:hAnsi="仿宋_GB2312" w:eastAsia="仿宋_GB2312" w:cs="仿宋_GB2312"/>
          <w:color w:val="auto"/>
          <w:kern w:val="0"/>
          <w:sz w:val="32"/>
          <w:szCs w:val="32"/>
        </w:rPr>
        <w:t>负责辖区森林、社会治安管理，危险剧毒物品管理，组织指导、监督、查办各类治安、林政案件，处置突发、重大治安事件，负责禁毒宣传教育，</w:t>
      </w:r>
      <w:r>
        <w:rPr>
          <w:rFonts w:hint="eastAsia" w:ascii="仿宋_GB2312" w:hAnsi="仿宋_GB2312" w:eastAsia="仿宋_GB2312" w:cs="仿宋_GB2312"/>
          <w:color w:val="auto"/>
          <w:kern w:val="0"/>
          <w:sz w:val="32"/>
          <w:szCs w:val="32"/>
          <w:lang w:eastAsia="zh-CN"/>
        </w:rPr>
        <w:t>侦查</w:t>
      </w:r>
      <w:r>
        <w:rPr>
          <w:rFonts w:hint="eastAsia" w:ascii="仿宋_GB2312" w:hAnsi="仿宋_GB2312" w:eastAsia="仿宋_GB2312" w:cs="仿宋_GB2312"/>
          <w:color w:val="auto"/>
          <w:kern w:val="0"/>
          <w:sz w:val="32"/>
          <w:szCs w:val="32"/>
        </w:rPr>
        <w:t>打击各类涉毒违法犯罪活动。</w:t>
      </w:r>
    </w:p>
    <w:p w14:paraId="3949BD0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3.</w:t>
      </w:r>
      <w:r>
        <w:rPr>
          <w:rFonts w:hint="eastAsia" w:ascii="仿宋_GB2312" w:hAnsi="仿宋_GB2312" w:eastAsia="仿宋_GB2312" w:cs="仿宋_GB2312"/>
          <w:color w:val="auto"/>
          <w:kern w:val="0"/>
          <w:sz w:val="32"/>
          <w:szCs w:val="32"/>
        </w:rPr>
        <w:t>负责本机关的执法监督、案件审核、考评，负责复议、诉讼、案件的审理和把关。</w:t>
      </w:r>
    </w:p>
    <w:p w14:paraId="2652945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4.</w:t>
      </w:r>
      <w:r>
        <w:rPr>
          <w:rFonts w:hint="eastAsia" w:ascii="仿宋_GB2312" w:hAnsi="仿宋_GB2312" w:eastAsia="仿宋_GB2312" w:cs="仿宋_GB2312"/>
          <w:color w:val="auto"/>
          <w:kern w:val="0"/>
          <w:sz w:val="32"/>
          <w:szCs w:val="32"/>
        </w:rPr>
        <w:t>负责本机关队伍建设工作；按规定权限管理干部；</w:t>
      </w:r>
      <w:r>
        <w:rPr>
          <w:rFonts w:hint="eastAsia" w:ascii="仿宋_GB2312" w:hAnsi="仿宋_GB2312" w:eastAsia="仿宋_GB2312" w:cs="仿宋_GB2312"/>
          <w:color w:val="auto"/>
          <w:kern w:val="0"/>
          <w:sz w:val="32"/>
          <w:szCs w:val="32"/>
          <w:lang w:eastAsia="zh-CN"/>
        </w:rPr>
        <w:t>拟订</w:t>
      </w:r>
      <w:r>
        <w:rPr>
          <w:rFonts w:hint="eastAsia" w:ascii="仿宋_GB2312" w:hAnsi="仿宋_GB2312" w:eastAsia="仿宋_GB2312" w:cs="仿宋_GB2312"/>
          <w:color w:val="auto"/>
          <w:kern w:val="0"/>
          <w:sz w:val="32"/>
          <w:szCs w:val="32"/>
        </w:rPr>
        <w:t>机关人</w:t>
      </w:r>
      <w:bookmarkStart w:id="1" w:name="_GoBack"/>
      <w:bookmarkEnd w:id="1"/>
      <w:r>
        <w:rPr>
          <w:rFonts w:hint="eastAsia" w:ascii="仿宋_GB2312" w:hAnsi="仿宋_GB2312" w:eastAsia="仿宋_GB2312" w:cs="仿宋_GB2312"/>
          <w:color w:val="auto"/>
          <w:kern w:val="0"/>
          <w:sz w:val="32"/>
          <w:szCs w:val="32"/>
        </w:rPr>
        <w:t>员培训、公安教育及公安宣传规划、监督落实情况；负责纪检监察、警务督察工作；负责后勤保障工作的规划及实施。</w:t>
      </w:r>
    </w:p>
    <w:p w14:paraId="2B0F0D8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24"/>
        </w:rPr>
      </w:pPr>
      <w:r>
        <w:rPr>
          <w:rFonts w:hint="eastAsia" w:ascii="仿宋_GB2312" w:hAnsi="仿宋_GB2312" w:eastAsia="仿宋_GB2312" w:cs="仿宋_GB2312"/>
          <w:color w:val="auto"/>
          <w:kern w:val="0"/>
          <w:sz w:val="32"/>
          <w:szCs w:val="32"/>
          <w:lang w:val="en-US" w:eastAsia="zh-CN"/>
        </w:rPr>
        <w:t>5.</w:t>
      </w:r>
      <w:r>
        <w:rPr>
          <w:rFonts w:hint="eastAsia" w:ascii="仿宋_GB2312" w:hAnsi="仿宋_GB2312" w:eastAsia="仿宋_GB2312" w:cs="仿宋_GB2312"/>
          <w:color w:val="auto"/>
          <w:kern w:val="0"/>
          <w:sz w:val="32"/>
          <w:szCs w:val="32"/>
        </w:rPr>
        <w:t>履行法律赋予的其他职责及其他事项。</w:t>
      </w:r>
    </w:p>
    <w:p w14:paraId="62012661">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Times New Roman" w:cs="Times New Roman"/>
          <w:kern w:val="0"/>
          <w:sz w:val="24"/>
        </w:rPr>
      </w:pPr>
      <w:r>
        <w:rPr>
          <w:rFonts w:ascii="黑体" w:hAnsi="黑体" w:eastAsia="黑体" w:cs="黑体"/>
          <w:b w:val="0"/>
          <w:bCs w:val="0"/>
          <w:kern w:val="0"/>
          <w:sz w:val="32"/>
          <w:szCs w:val="32"/>
        </w:rPr>
        <w:t>二、单位机构设置及决算单位构成情况</w:t>
      </w:r>
    </w:p>
    <w:p w14:paraId="30F24C64">
      <w:pPr>
        <w:keepNext w:val="0"/>
        <w:keepLines w:val="0"/>
        <w:pageBreakBefore w:val="0"/>
        <w:widowControl/>
        <w:suppressLineNumbers w:val="0"/>
        <w:kinsoku/>
        <w:wordWrap/>
        <w:overflowPunct/>
        <w:topLinePunct w:val="0"/>
        <w:autoSpaceDE w:val="0"/>
        <w:autoSpaceDN/>
        <w:bidi w:val="0"/>
        <w:adjustRightInd/>
        <w:snapToGrid w:val="0"/>
        <w:spacing w:beforeAutospacing="0" w:afterAutospacing="0" w:line="560" w:lineRule="exact"/>
        <w:ind w:right="0" w:firstLine="640" w:firstLineChars="20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1.根据</w:t>
      </w:r>
      <w:r>
        <w:rPr>
          <w:rFonts w:hint="eastAsia" w:ascii="仿宋_GB2312" w:hAnsi="仿宋_GB2312" w:eastAsia="仿宋_GB2312" w:cs="仿宋_GB2312"/>
          <w:sz w:val="32"/>
          <w:szCs w:val="32"/>
          <w:lang w:val="en-US" w:eastAsia="zh-CN"/>
        </w:rPr>
        <w:t>内蒙古大兴安岭森林公安局北部原始林区分局</w:t>
      </w:r>
      <w:r>
        <w:rPr>
          <w:rFonts w:hint="eastAsia" w:ascii="仿宋_GB2312" w:hAnsi="仿宋_GB2312" w:eastAsia="仿宋_GB2312" w:cs="仿宋_GB2312"/>
          <w:kern w:val="0"/>
          <w:sz w:val="32"/>
          <w:szCs w:val="32"/>
          <w:lang w:val="en-US" w:eastAsia="zh-CN"/>
        </w:rPr>
        <w:t>职责分工，本单位内设机构信息因涉及敏感内容，未在报告中体现。本单位无下属单位。</w:t>
      </w:r>
    </w:p>
    <w:p w14:paraId="0D1E47F8">
      <w:pPr>
        <w:keepNext w:val="0"/>
        <w:keepLines w:val="0"/>
        <w:pageBreakBefore w:val="0"/>
        <w:widowControl/>
        <w:suppressLineNumbers w:val="0"/>
        <w:kinsoku/>
        <w:wordWrap/>
        <w:overflowPunct/>
        <w:topLinePunct w:val="0"/>
        <w:autoSpaceDE w:val="0"/>
        <w:autoSpaceDN/>
        <w:bidi w:val="0"/>
        <w:adjustRightInd/>
        <w:snapToGrid w:val="0"/>
        <w:spacing w:beforeAutospacing="0" w:afterAutospacing="0" w:line="560" w:lineRule="exact"/>
        <w:ind w:right="0" w:firstLine="640" w:firstLineChars="20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2.从决算单位构成看，纳入本单位决算编制范围的预算单位共计1家,具体包括：内蒙古大兴安岭森林公安局北部原始林区分局。详细情况见表：</w:t>
      </w:r>
    </w:p>
    <w:tbl>
      <w:tblPr>
        <w:tblStyle w:val="19"/>
        <w:tblW w:w="7080" w:type="dxa"/>
        <w:jc w:val="center"/>
        <w:tblLayout w:type="fixed"/>
        <w:tblCellMar>
          <w:top w:w="15" w:type="dxa"/>
          <w:left w:w="15" w:type="dxa"/>
          <w:bottom w:w="15" w:type="dxa"/>
          <w:right w:w="15" w:type="dxa"/>
        </w:tblCellMar>
      </w:tblPr>
      <w:tblGrid>
        <w:gridCol w:w="583"/>
        <w:gridCol w:w="4992"/>
        <w:gridCol w:w="1505"/>
      </w:tblGrid>
      <w:tr w14:paraId="1BC5A4F5">
        <w:tblPrEx>
          <w:tblCellMar>
            <w:top w:w="15" w:type="dxa"/>
            <w:left w:w="15" w:type="dxa"/>
            <w:bottom w:w="15" w:type="dxa"/>
            <w:right w:w="15" w:type="dxa"/>
          </w:tblCellMar>
        </w:tblPrEx>
        <w:trPr>
          <w:trHeight w:val="459" w:hRule="atLeast"/>
          <w:tblHeader/>
          <w:jc w:val="center"/>
        </w:trPr>
        <w:tc>
          <w:tcPr>
            <w:tcW w:w="583" w:type="dxa"/>
            <w:tcBorders>
              <w:top w:val="outset" w:color="808080" w:sz="6" w:space="0"/>
              <w:left w:val="outset" w:color="808080" w:sz="6" w:space="0"/>
              <w:bottom w:val="outset" w:color="808080" w:sz="6" w:space="0"/>
              <w:right w:val="outset" w:color="808080" w:sz="6" w:space="0"/>
            </w:tcBorders>
            <w:noWrap w:val="0"/>
            <w:tcMar>
              <w:top w:w="15" w:type="dxa"/>
              <w:left w:w="22" w:type="dxa"/>
              <w:bottom w:w="15" w:type="dxa"/>
              <w:right w:w="22" w:type="dxa"/>
            </w:tcMar>
            <w:vAlign w:val="center"/>
          </w:tcPr>
          <w:p w14:paraId="0520929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Times New Roman" w:hAnsi="Times New Roman" w:eastAsia="Times New Roman" w:cs="Times New Roman"/>
                <w:b w:val="0"/>
                <w:bCs w:val="0"/>
                <w:i w:val="0"/>
                <w:iCs w:val="0"/>
                <w:smallCaps w:val="0"/>
                <w:color w:val="000000"/>
                <w:kern w:val="0"/>
                <w:sz w:val="24"/>
              </w:rPr>
            </w:pPr>
            <w:r>
              <w:rPr>
                <w:rFonts w:ascii="仿宋" w:hAnsi="仿宋" w:eastAsia="仿宋" w:cs="仿宋"/>
                <w:b w:val="0"/>
                <w:bCs w:val="0"/>
                <w:i w:val="0"/>
                <w:iCs w:val="0"/>
                <w:smallCaps w:val="0"/>
                <w:color w:val="000000"/>
                <w:kern w:val="0"/>
                <w:sz w:val="24"/>
              </w:rPr>
              <w:t>序号</w:t>
            </w:r>
          </w:p>
        </w:tc>
        <w:tc>
          <w:tcPr>
            <w:tcW w:w="4992" w:type="dxa"/>
            <w:tcBorders>
              <w:top w:val="outset" w:color="808080" w:sz="6" w:space="0"/>
              <w:left w:val="outset" w:color="808080" w:sz="6" w:space="0"/>
              <w:bottom w:val="outset" w:color="808080" w:sz="6" w:space="0"/>
              <w:right w:val="outset" w:color="808080" w:sz="6" w:space="0"/>
            </w:tcBorders>
            <w:noWrap w:val="0"/>
            <w:tcMar>
              <w:top w:w="15" w:type="dxa"/>
              <w:left w:w="22" w:type="dxa"/>
              <w:bottom w:w="15" w:type="dxa"/>
              <w:right w:w="22" w:type="dxa"/>
            </w:tcMar>
            <w:vAlign w:val="center"/>
          </w:tcPr>
          <w:p w14:paraId="4022DC7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Times New Roman" w:hAnsi="Times New Roman" w:eastAsia="Times New Roman" w:cs="Times New Roman"/>
                <w:b w:val="0"/>
                <w:bCs w:val="0"/>
                <w:i w:val="0"/>
                <w:iCs w:val="0"/>
                <w:smallCaps w:val="0"/>
                <w:color w:val="000000"/>
                <w:kern w:val="0"/>
                <w:sz w:val="24"/>
              </w:rPr>
            </w:pPr>
            <w:r>
              <w:rPr>
                <w:rFonts w:ascii="仿宋" w:hAnsi="仿宋" w:eastAsia="仿宋" w:cs="仿宋"/>
                <w:b w:val="0"/>
                <w:bCs w:val="0"/>
                <w:i w:val="0"/>
                <w:iCs w:val="0"/>
                <w:smallCaps w:val="0"/>
                <w:color w:val="000000"/>
                <w:kern w:val="0"/>
                <w:sz w:val="24"/>
              </w:rPr>
              <w:t>单位名称</w:t>
            </w:r>
          </w:p>
        </w:tc>
        <w:tc>
          <w:tcPr>
            <w:tcW w:w="1505" w:type="dxa"/>
            <w:tcBorders>
              <w:top w:val="outset" w:color="808080" w:sz="6" w:space="0"/>
              <w:left w:val="outset" w:color="808080" w:sz="6" w:space="0"/>
              <w:bottom w:val="outset" w:color="808080" w:sz="6" w:space="0"/>
              <w:right w:val="outset" w:color="808080" w:sz="6" w:space="0"/>
            </w:tcBorders>
            <w:noWrap w:val="0"/>
            <w:tcMar>
              <w:top w:w="15" w:type="dxa"/>
              <w:left w:w="22" w:type="dxa"/>
              <w:bottom w:w="15" w:type="dxa"/>
              <w:right w:w="22" w:type="dxa"/>
            </w:tcMar>
            <w:vAlign w:val="center"/>
          </w:tcPr>
          <w:p w14:paraId="22B914D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Times New Roman" w:hAnsi="Times New Roman" w:eastAsia="Times New Roman" w:cs="Times New Roman"/>
                <w:b w:val="0"/>
                <w:bCs w:val="0"/>
                <w:i w:val="0"/>
                <w:iCs w:val="0"/>
                <w:smallCaps w:val="0"/>
                <w:color w:val="000000"/>
                <w:kern w:val="0"/>
                <w:sz w:val="24"/>
              </w:rPr>
            </w:pPr>
            <w:r>
              <w:rPr>
                <w:rFonts w:ascii="仿宋" w:hAnsi="仿宋" w:eastAsia="仿宋" w:cs="仿宋"/>
                <w:b w:val="0"/>
                <w:bCs w:val="0"/>
                <w:i w:val="0"/>
                <w:iCs w:val="0"/>
                <w:smallCaps w:val="0"/>
                <w:color w:val="000000"/>
                <w:kern w:val="0"/>
                <w:sz w:val="24"/>
              </w:rPr>
              <w:t>单位性质</w:t>
            </w:r>
          </w:p>
        </w:tc>
      </w:tr>
      <w:tr w14:paraId="51D6F23F">
        <w:tblPrEx>
          <w:tblCellMar>
            <w:top w:w="15" w:type="dxa"/>
            <w:left w:w="15" w:type="dxa"/>
            <w:bottom w:w="15" w:type="dxa"/>
            <w:right w:w="15" w:type="dxa"/>
          </w:tblCellMar>
        </w:tblPrEx>
        <w:trPr>
          <w:trHeight w:val="368" w:hRule="atLeast"/>
          <w:jc w:val="center"/>
        </w:trPr>
        <w:tc>
          <w:tcPr>
            <w:tcW w:w="583" w:type="dxa"/>
            <w:tcBorders>
              <w:top w:val="outset" w:color="808080" w:sz="6" w:space="0"/>
              <w:left w:val="outset" w:color="808080" w:sz="6" w:space="0"/>
              <w:bottom w:val="outset" w:color="808080" w:sz="6" w:space="0"/>
              <w:right w:val="outset" w:color="808080" w:sz="6" w:space="0"/>
            </w:tcBorders>
            <w:noWrap w:val="0"/>
            <w:tcMar>
              <w:top w:w="15" w:type="dxa"/>
              <w:left w:w="22" w:type="dxa"/>
              <w:bottom w:w="15" w:type="dxa"/>
              <w:right w:w="22" w:type="dxa"/>
            </w:tcMar>
            <w:vAlign w:val="center"/>
          </w:tcPr>
          <w:p w14:paraId="19E921D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Times New Roman" w:hAnsi="Times New Roman" w:eastAsia="Times New Roman" w:cs="Times New Roman"/>
                <w:b w:val="0"/>
                <w:bCs w:val="0"/>
                <w:i w:val="0"/>
                <w:iCs w:val="0"/>
                <w:smallCaps w:val="0"/>
                <w:color w:val="000000"/>
                <w:kern w:val="0"/>
                <w:sz w:val="24"/>
              </w:rPr>
            </w:pPr>
            <w:r>
              <w:rPr>
                <w:rFonts w:eastAsia="Times New Roman"/>
                <w:b w:val="0"/>
                <w:bCs w:val="0"/>
                <w:i w:val="0"/>
                <w:iCs w:val="0"/>
                <w:smallCaps w:val="0"/>
                <w:color w:val="000000"/>
                <w:kern w:val="0"/>
                <w:sz w:val="24"/>
              </w:rPr>
              <w:t>1</w:t>
            </w:r>
          </w:p>
        </w:tc>
        <w:tc>
          <w:tcPr>
            <w:tcW w:w="4992" w:type="dxa"/>
            <w:tcBorders>
              <w:top w:val="outset" w:color="808080" w:sz="6" w:space="0"/>
              <w:left w:val="outset" w:color="808080" w:sz="6" w:space="0"/>
              <w:bottom w:val="outset" w:color="808080" w:sz="6" w:space="0"/>
              <w:right w:val="outset" w:color="808080" w:sz="6" w:space="0"/>
            </w:tcBorders>
            <w:noWrap w:val="0"/>
            <w:tcMar>
              <w:top w:w="15" w:type="dxa"/>
              <w:left w:w="22" w:type="dxa"/>
              <w:bottom w:w="15" w:type="dxa"/>
              <w:right w:w="22" w:type="dxa"/>
            </w:tcMar>
            <w:vAlign w:val="center"/>
          </w:tcPr>
          <w:p w14:paraId="397E989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Times New Roman" w:hAnsi="Times New Roman" w:eastAsia="Times New Roman" w:cs="Times New Roman"/>
                <w:b w:val="0"/>
                <w:bCs w:val="0"/>
                <w:i w:val="0"/>
                <w:iCs w:val="0"/>
                <w:smallCaps w:val="0"/>
                <w:color w:val="000000"/>
                <w:kern w:val="0"/>
                <w:sz w:val="24"/>
              </w:rPr>
            </w:pPr>
            <w:r>
              <w:rPr>
                <w:rFonts w:hint="eastAsia" w:ascii="仿宋" w:hAnsi="仿宋" w:eastAsia="仿宋" w:cs="仿宋"/>
                <w:b w:val="0"/>
                <w:bCs w:val="0"/>
                <w:i w:val="0"/>
                <w:iCs w:val="0"/>
                <w:smallCaps w:val="0"/>
                <w:color w:val="000000"/>
                <w:kern w:val="0"/>
                <w:sz w:val="24"/>
                <w:lang w:val="en-US" w:eastAsia="zh-CN"/>
              </w:rPr>
              <w:t>内蒙古大兴安岭森林公安局北部原始林区分局</w:t>
            </w:r>
          </w:p>
        </w:tc>
        <w:tc>
          <w:tcPr>
            <w:tcW w:w="1505" w:type="dxa"/>
            <w:tcBorders>
              <w:top w:val="outset" w:color="808080" w:sz="6" w:space="0"/>
              <w:left w:val="outset" w:color="808080" w:sz="6" w:space="0"/>
              <w:bottom w:val="outset" w:color="808080" w:sz="6" w:space="0"/>
              <w:right w:val="outset" w:color="808080" w:sz="6" w:space="0"/>
            </w:tcBorders>
            <w:noWrap w:val="0"/>
            <w:tcMar>
              <w:top w:w="15" w:type="dxa"/>
              <w:left w:w="22" w:type="dxa"/>
              <w:bottom w:w="15" w:type="dxa"/>
              <w:right w:w="22" w:type="dxa"/>
            </w:tcMar>
            <w:vAlign w:val="center"/>
          </w:tcPr>
          <w:p w14:paraId="1830681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Times New Roman" w:hAnsi="Times New Roman" w:eastAsia="Times New Roman" w:cs="Times New Roman"/>
                <w:b w:val="0"/>
                <w:bCs w:val="0"/>
                <w:i w:val="0"/>
                <w:iCs w:val="0"/>
                <w:smallCaps w:val="0"/>
                <w:color w:val="000000"/>
                <w:kern w:val="0"/>
                <w:sz w:val="24"/>
              </w:rPr>
            </w:pPr>
            <w:r>
              <w:rPr>
                <w:rFonts w:ascii="仿宋" w:hAnsi="仿宋" w:eastAsia="仿宋" w:cs="仿宋"/>
                <w:b w:val="0"/>
                <w:bCs w:val="0"/>
                <w:i w:val="0"/>
                <w:iCs w:val="0"/>
                <w:smallCaps w:val="0"/>
                <w:color w:val="000000"/>
                <w:kern w:val="0"/>
                <w:sz w:val="24"/>
              </w:rPr>
              <w:t>行政单位</w:t>
            </w:r>
          </w:p>
        </w:tc>
      </w:tr>
    </w:tbl>
    <w:p w14:paraId="17DFEB2F">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Times New Roman" w:cs="Times New Roman"/>
          <w:kern w:val="0"/>
          <w:sz w:val="24"/>
        </w:rPr>
      </w:pPr>
      <w:r>
        <w:rPr>
          <w:rFonts w:ascii="黑体" w:hAnsi="黑体" w:eastAsia="黑体" w:cs="黑体"/>
          <w:b w:val="0"/>
          <w:bCs w:val="0"/>
          <w:kern w:val="0"/>
          <w:sz w:val="32"/>
          <w:szCs w:val="32"/>
        </w:rPr>
        <w:t>三、</w:t>
      </w:r>
      <w:r>
        <w:rPr>
          <w:rFonts w:eastAsia="Times New Roman"/>
          <w:b w:val="0"/>
          <w:bCs w:val="0"/>
          <w:kern w:val="0"/>
          <w:sz w:val="32"/>
          <w:szCs w:val="32"/>
          <w:lang w:eastAsia="en-US"/>
        </w:rPr>
        <w:t>2025</w:t>
      </w:r>
      <w:r>
        <w:rPr>
          <w:rFonts w:ascii="黑体" w:hAnsi="黑体" w:eastAsia="黑体" w:cs="黑体"/>
          <w:b w:val="0"/>
          <w:bCs w:val="0"/>
          <w:kern w:val="0"/>
          <w:sz w:val="32"/>
          <w:szCs w:val="32"/>
        </w:rPr>
        <w:t>年度单位主要工作完成情况</w:t>
      </w:r>
    </w:p>
    <w:p w14:paraId="25227B49">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Times New Roman" w:cs="Times New Roman"/>
          <w:kern w:val="0"/>
          <w:sz w:val="24"/>
        </w:rPr>
      </w:pPr>
      <w:r>
        <w:rPr>
          <w:rFonts w:hint="eastAsia" w:ascii="仿宋_GB2312" w:hAnsi="仿宋_GB2312" w:eastAsia="仿宋_GB2312" w:cs="仿宋_GB2312"/>
          <w:kern w:val="2"/>
          <w:sz w:val="32"/>
          <w:szCs w:val="32"/>
          <w:lang w:val="en-US" w:eastAsia="zh-CN" w:bidi="ar-SA"/>
        </w:rPr>
        <w:t>2025年，内蒙古大兴安岭森林公安局北部原始林区分局在内蒙古公安厅党委和内蒙古大兴安岭森林公安局党委的正确领导下，紧紧围绕原始林区稳定，加强学习，强化队伍建设，认真履行使命任务，扎实推进森林公安工作，加强森林公安宣传工作，有效预防各类违法犯罪活动，以各项集中整治行动为载体，开展一系列打击涉林违法犯罪的专项行动，严厉打击了破坏森林资源和野生动植物违法犯罪行为，较好地完成了各项安全保卫工作及各项专项行动任务，有效维护和保障了原始林区稳定，在构建和谐林区、生态林区和林区经济社会发展中发挥了积极作用。</w:t>
      </w:r>
    </w:p>
    <w:p w14:paraId="571461B6">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黑体" w:hAnsi="黑体" w:eastAsia="黑体" w:cs="黑体"/>
          <w:kern w:val="0"/>
          <w:sz w:val="32"/>
          <w:szCs w:val="32"/>
        </w:rPr>
      </w:pPr>
    </w:p>
    <w:p w14:paraId="5B069333">
      <w:pPr>
        <w:pStyle w:val="3"/>
        <w:keepNext w:val="0"/>
        <w:keepLines w:val="0"/>
        <w:pageBreakBefore w:val="0"/>
        <w:widowControl/>
        <w:kinsoku/>
        <w:wordWrap/>
        <w:overflowPunct/>
        <w:topLinePunct w:val="0"/>
        <w:autoSpaceDE/>
        <w:autoSpaceDN/>
        <w:bidi w:val="0"/>
        <w:adjustRightInd/>
        <w:snapToGrid/>
        <w:spacing w:before="0" w:after="0" w:line="560" w:lineRule="exact"/>
        <w:ind w:left="0" w:right="0"/>
        <w:jc w:val="center"/>
        <w:textAlignment w:val="auto"/>
        <w:rPr>
          <w:rFonts w:ascii="方正小标宋简体" w:hAnsi="方正小标宋简体" w:eastAsia="方正小标宋简体" w:cs="方正小标宋简体"/>
          <w:kern w:val="0"/>
          <w:sz w:val="36"/>
          <w:szCs w:val="36"/>
        </w:rPr>
      </w:pPr>
      <w:r>
        <w:rPr>
          <w:rFonts w:ascii="方正小标宋简体" w:hAnsi="方正小标宋简体" w:eastAsia="方正小标宋简体" w:cs="方正小标宋简体"/>
          <w:b w:val="0"/>
          <w:bCs w:val="0"/>
          <w:kern w:val="0"/>
          <w:sz w:val="44"/>
          <w:szCs w:val="44"/>
        </w:rPr>
        <w:t>第二部分  单位决算情况说明</w:t>
      </w:r>
    </w:p>
    <w:p w14:paraId="2EDD33DD">
      <w:pPr>
        <w:rPr>
          <w:rFonts w:hint="eastAsia" w:ascii="黑体" w:hAnsi="黑体" w:eastAsia="黑体" w:cs="黑体"/>
          <w:sz w:val="32"/>
          <w:szCs w:val="32"/>
        </w:rPr>
      </w:pPr>
    </w:p>
    <w:p w14:paraId="48484439">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黑体" w:cs="Times New Roman"/>
          <w:kern w:val="0"/>
          <w:sz w:val="24"/>
          <w:lang w:val="en-US" w:eastAsia="zh-CN"/>
        </w:rPr>
      </w:pPr>
      <w:r>
        <w:rPr>
          <w:rFonts w:ascii="黑体" w:hAnsi="黑体" w:eastAsia="黑体" w:cs="黑体"/>
          <w:b w:val="0"/>
          <w:bCs w:val="0"/>
          <w:kern w:val="0"/>
          <w:sz w:val="32"/>
          <w:szCs w:val="32"/>
        </w:rPr>
        <w:t>一、收入支出决算总体情况说明</w:t>
      </w:r>
    </w:p>
    <w:p w14:paraId="44BA3038">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Times New Roman" w:cs="Times New Roman"/>
          <w:kern w:val="0"/>
          <w:sz w:val="24"/>
          <w:lang w:val="en-US"/>
        </w:rPr>
      </w:pPr>
      <w:r>
        <w:rPr>
          <w:rFonts w:hint="eastAsia" w:ascii="仿宋_GB2312" w:hAnsi="黑体" w:eastAsia="仿宋_GB2312" w:cs="Times New Roman"/>
          <w:kern w:val="2"/>
          <w:sz w:val="32"/>
          <w:szCs w:val="32"/>
          <w:lang w:val="en-US" w:eastAsia="zh-CN" w:bidi="ar-SA"/>
        </w:rPr>
        <w:t>内蒙古大兴安岭森林公安局北部原始林区分局</w:t>
      </w:r>
      <w:r>
        <w:rPr>
          <w:rFonts w:hint="eastAsia" w:ascii="仿宋_GB2312" w:hAnsi="黑体" w:eastAsia="仿宋_GB2312" w:cs="Times New Roman"/>
          <w:kern w:val="2"/>
          <w:sz w:val="32"/>
          <w:szCs w:val="32"/>
          <w:lang w:val="en-US" w:eastAsia="en-US" w:bidi="ar-SA"/>
        </w:rPr>
        <w:t>2025</w:t>
      </w:r>
      <w:r>
        <w:rPr>
          <w:rFonts w:hint="eastAsia" w:ascii="仿宋_GB2312" w:hAnsi="黑体" w:eastAsia="仿宋_GB2312" w:cs="Times New Roman"/>
          <w:kern w:val="2"/>
          <w:sz w:val="32"/>
          <w:szCs w:val="32"/>
          <w:lang w:val="en-US" w:eastAsia="zh-CN" w:bidi="ar-SA"/>
        </w:rPr>
        <w:t>年度收入、支出决算总计均为</w:t>
      </w:r>
      <w:r>
        <w:rPr>
          <w:rFonts w:hint="eastAsia" w:ascii="仿宋_GB2312" w:hAnsi="黑体" w:eastAsia="仿宋_GB2312" w:cs="Times New Roman"/>
          <w:kern w:val="2"/>
          <w:sz w:val="32"/>
          <w:szCs w:val="32"/>
          <w:lang w:val="en-US" w:eastAsia="en-US" w:bidi="ar-SA"/>
        </w:rPr>
        <w:t>1871.72</w:t>
      </w:r>
      <w:r>
        <w:rPr>
          <w:rFonts w:hint="eastAsia" w:ascii="仿宋_GB2312" w:hAnsi="黑体" w:eastAsia="仿宋_GB2312" w:cs="Times New Roman"/>
          <w:kern w:val="2"/>
          <w:sz w:val="32"/>
          <w:szCs w:val="32"/>
          <w:lang w:val="en-US" w:eastAsia="zh-CN" w:bidi="ar-SA"/>
        </w:rPr>
        <w:t>万元。与年初预算相比，收、支总计各增加</w:t>
      </w:r>
      <w:r>
        <w:rPr>
          <w:rFonts w:hint="eastAsia" w:ascii="仿宋_GB2312" w:hAnsi="黑体" w:eastAsia="仿宋_GB2312" w:cs="Times New Roman"/>
          <w:kern w:val="2"/>
          <w:sz w:val="32"/>
          <w:szCs w:val="32"/>
          <w:lang w:val="en-US" w:eastAsia="en-US" w:bidi="ar-SA"/>
        </w:rPr>
        <w:t>70.42</w:t>
      </w:r>
      <w:r>
        <w:rPr>
          <w:rFonts w:hint="eastAsia" w:ascii="仿宋_GB2312" w:hAnsi="黑体" w:eastAsia="仿宋_GB2312" w:cs="Times New Roman"/>
          <w:kern w:val="2"/>
          <w:sz w:val="32"/>
          <w:szCs w:val="32"/>
          <w:lang w:val="en-US" w:eastAsia="zh-CN" w:bidi="ar-SA"/>
        </w:rPr>
        <w:t>万元，增长</w:t>
      </w:r>
      <w:r>
        <w:rPr>
          <w:rFonts w:hint="eastAsia" w:ascii="仿宋_GB2312" w:hAnsi="黑体" w:eastAsia="仿宋_GB2312" w:cs="Times New Roman"/>
          <w:kern w:val="2"/>
          <w:sz w:val="32"/>
          <w:szCs w:val="32"/>
          <w:lang w:val="en-US" w:eastAsia="en-US" w:bidi="ar-SA"/>
        </w:rPr>
        <w:t>3.91%</w:t>
      </w:r>
      <w:r>
        <w:rPr>
          <w:rFonts w:hint="eastAsia" w:ascii="仿宋_GB2312" w:hAnsi="黑体" w:eastAsia="仿宋_GB2312" w:cs="Times New Roman"/>
          <w:kern w:val="2"/>
          <w:sz w:val="32"/>
          <w:szCs w:val="32"/>
          <w:lang w:val="en-US" w:eastAsia="zh-CN" w:bidi="ar-SA"/>
        </w:rPr>
        <w:t>，变动原因：因人员工资基数上调，人员经费增加，且年中追加了项目经费；与上年决算相比，收、支总计各增加</w:t>
      </w:r>
      <w:r>
        <w:rPr>
          <w:rFonts w:hint="eastAsia" w:ascii="仿宋_GB2312" w:hAnsi="黑体" w:eastAsia="仿宋_GB2312" w:cs="Times New Roman"/>
          <w:kern w:val="2"/>
          <w:sz w:val="32"/>
          <w:szCs w:val="32"/>
          <w:lang w:val="en-US" w:eastAsia="en-US" w:bidi="ar-SA"/>
        </w:rPr>
        <w:t>99.06</w:t>
      </w:r>
      <w:r>
        <w:rPr>
          <w:rFonts w:hint="eastAsia" w:ascii="仿宋_GB2312" w:hAnsi="黑体" w:eastAsia="仿宋_GB2312" w:cs="Times New Roman"/>
          <w:kern w:val="2"/>
          <w:sz w:val="32"/>
          <w:szCs w:val="32"/>
          <w:lang w:val="en-US" w:eastAsia="zh-CN" w:bidi="ar-SA"/>
        </w:rPr>
        <w:t>万元，增长</w:t>
      </w:r>
      <w:r>
        <w:rPr>
          <w:rFonts w:hint="eastAsia" w:ascii="仿宋_GB2312" w:hAnsi="黑体" w:eastAsia="仿宋_GB2312" w:cs="Times New Roman"/>
          <w:kern w:val="2"/>
          <w:sz w:val="32"/>
          <w:szCs w:val="32"/>
          <w:lang w:val="en-US" w:eastAsia="en-US" w:bidi="ar-SA"/>
        </w:rPr>
        <w:t>5.59%</w:t>
      </w:r>
      <w:r>
        <w:rPr>
          <w:rFonts w:hint="eastAsia" w:ascii="仿宋_GB2312" w:hAnsi="黑体" w:eastAsia="仿宋_GB2312" w:cs="Times New Roman"/>
          <w:kern w:val="2"/>
          <w:sz w:val="32"/>
          <w:szCs w:val="32"/>
          <w:lang w:val="en-US" w:eastAsia="zh-CN" w:bidi="ar-SA"/>
        </w:rPr>
        <w:t>。其中：</w:t>
      </w:r>
    </w:p>
    <w:p w14:paraId="716CBC63">
      <w:pPr>
        <w:pStyle w:val="29"/>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kern w:val="0"/>
          <w:sz w:val="32"/>
          <w:szCs w:val="32"/>
        </w:rPr>
      </w:pPr>
      <w:r>
        <w:rPr>
          <w:rFonts w:hint="eastAsia" w:ascii="楷体_GB2312" w:hAnsi="楷体_GB2312" w:eastAsia="楷体_GB2312" w:cs="楷体_GB2312"/>
          <w:b/>
          <w:bCs/>
          <w:kern w:val="0"/>
          <w:sz w:val="32"/>
          <w:szCs w:val="32"/>
        </w:rPr>
        <w:t>（一）收入决算总计</w:t>
      </w:r>
      <w:r>
        <w:rPr>
          <w:rFonts w:hint="eastAsia" w:ascii="楷体_GB2312" w:hAnsi="楷体_GB2312" w:eastAsia="楷体_GB2312" w:cs="楷体_GB2312"/>
          <w:b/>
          <w:bCs/>
          <w:kern w:val="0"/>
          <w:sz w:val="32"/>
          <w:szCs w:val="32"/>
          <w:u w:val="none"/>
          <w:lang w:eastAsia="en-US"/>
        </w:rPr>
        <w:t>1871.72</w:t>
      </w:r>
      <w:r>
        <w:rPr>
          <w:rFonts w:hint="eastAsia" w:ascii="楷体_GB2312" w:hAnsi="楷体_GB2312" w:eastAsia="楷体_GB2312" w:cs="楷体_GB2312"/>
          <w:b/>
          <w:bCs/>
          <w:kern w:val="0"/>
          <w:sz w:val="32"/>
          <w:szCs w:val="32"/>
        </w:rPr>
        <w:t>万元。包括：</w:t>
      </w:r>
    </w:p>
    <w:p w14:paraId="3471BB9C">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en-US" w:bidi="ar-SA"/>
        </w:rPr>
        <w:t>1</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本年收入决算合计</w:t>
      </w:r>
      <w:r>
        <w:rPr>
          <w:rFonts w:hint="eastAsia" w:ascii="仿宋_GB2312" w:hAnsi="仿宋_GB2312" w:eastAsia="仿宋_GB2312" w:cs="仿宋_GB2312"/>
          <w:kern w:val="0"/>
          <w:sz w:val="32"/>
          <w:szCs w:val="32"/>
          <w:u w:val="none"/>
          <w:lang w:eastAsia="en-US"/>
        </w:rPr>
        <w:t>1871.72</w:t>
      </w:r>
      <w:r>
        <w:rPr>
          <w:rFonts w:hint="eastAsia" w:ascii="仿宋_GB2312" w:hAnsi="仿宋_GB2312" w:eastAsia="仿宋_GB2312" w:cs="仿宋_GB2312"/>
          <w:kern w:val="0"/>
          <w:sz w:val="32"/>
          <w:szCs w:val="32"/>
        </w:rPr>
        <w:t>万元。与上年决算相比，增加</w:t>
      </w:r>
      <w:r>
        <w:rPr>
          <w:rFonts w:hint="eastAsia" w:ascii="仿宋_GB2312" w:hAnsi="仿宋_GB2312" w:eastAsia="仿宋_GB2312" w:cs="仿宋_GB2312"/>
          <w:kern w:val="0"/>
          <w:sz w:val="32"/>
          <w:szCs w:val="32"/>
          <w:u w:val="none"/>
          <w:lang w:eastAsia="en-US"/>
        </w:rPr>
        <w:t>99.06</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u w:val="none"/>
          <w:lang w:eastAsia="en-US"/>
        </w:rPr>
        <w:t>5.59</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，变动原因：</w:t>
      </w:r>
      <w:r>
        <w:rPr>
          <w:rFonts w:hint="eastAsia" w:ascii="仿宋_GB2312" w:hAnsi="仿宋_GB2312" w:eastAsia="仿宋_GB2312" w:cs="仿宋_GB2312"/>
          <w:kern w:val="2"/>
          <w:sz w:val="32"/>
          <w:szCs w:val="32"/>
          <w:lang w:val="en-US" w:eastAsia="zh-CN" w:bidi="ar-SA"/>
        </w:rPr>
        <w:t>因人员工资基数</w:t>
      </w:r>
      <w:r>
        <w:rPr>
          <w:rFonts w:hint="eastAsia" w:ascii="仿宋_GB2312" w:hAnsi="黑体" w:eastAsia="仿宋_GB2312" w:cs="Times New Roman"/>
          <w:kern w:val="2"/>
          <w:sz w:val="32"/>
          <w:szCs w:val="32"/>
          <w:lang w:val="en-US" w:eastAsia="zh-CN" w:bidi="ar-SA"/>
        </w:rPr>
        <w:t>上调，</w:t>
      </w:r>
      <w:r>
        <w:rPr>
          <w:rFonts w:hint="eastAsia" w:ascii="仿宋_GB2312" w:hAnsi="仿宋_GB2312" w:eastAsia="仿宋_GB2312" w:cs="仿宋_GB2312"/>
          <w:kern w:val="2"/>
          <w:sz w:val="32"/>
          <w:szCs w:val="32"/>
          <w:lang w:val="en-US" w:eastAsia="zh-CN" w:bidi="ar-SA"/>
        </w:rPr>
        <w:t>人员经费增加，且2025年年中追加了项目经费</w:t>
      </w:r>
      <w:r>
        <w:rPr>
          <w:rFonts w:hint="eastAsia" w:ascii="仿宋_GB2312" w:hAnsi="仿宋_GB2312" w:eastAsia="仿宋_GB2312" w:cs="仿宋_GB2312"/>
          <w:kern w:val="0"/>
          <w:sz w:val="32"/>
          <w:szCs w:val="32"/>
        </w:rPr>
        <w:t>。</w:t>
      </w:r>
    </w:p>
    <w:p w14:paraId="0620419D">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en-US" w:bidi="ar-SA"/>
        </w:rPr>
        <w:t>2</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使用非财政拨款结余</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rPr>
        <w:t>万元。与上年决算相比，增加</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，变动原因：</w:t>
      </w:r>
      <w:r>
        <w:rPr>
          <w:rFonts w:hint="eastAsia" w:ascii="仿宋_GB2312" w:hAnsi="仿宋_GB2312" w:eastAsia="仿宋_GB2312" w:cs="仿宋_GB2312"/>
          <w:kern w:val="2"/>
          <w:sz w:val="32"/>
          <w:szCs w:val="32"/>
          <w:lang w:val="en-US" w:eastAsia="zh-CN" w:bidi="ar-SA"/>
        </w:rPr>
        <w:t>不存在此项内容</w:t>
      </w:r>
      <w:r>
        <w:rPr>
          <w:rFonts w:hint="eastAsia" w:ascii="仿宋_GB2312" w:hAnsi="仿宋_GB2312" w:eastAsia="仿宋_GB2312" w:cs="仿宋_GB2312"/>
          <w:kern w:val="0"/>
          <w:sz w:val="32"/>
          <w:szCs w:val="32"/>
        </w:rPr>
        <w:t>。</w:t>
      </w:r>
    </w:p>
    <w:p w14:paraId="1394D0E7">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en-US" w:bidi="ar-SA"/>
        </w:rPr>
        <w:t>3</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年初结转和结余</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rPr>
        <w:t>万元。与上年决算相比，增加</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，变动原因：</w:t>
      </w:r>
      <w:r>
        <w:rPr>
          <w:rFonts w:hint="eastAsia" w:ascii="仿宋_GB2312" w:hAnsi="仿宋_GB2312" w:eastAsia="仿宋_GB2312" w:cs="仿宋_GB2312"/>
          <w:kern w:val="2"/>
          <w:sz w:val="32"/>
          <w:szCs w:val="32"/>
          <w:lang w:val="en-US" w:eastAsia="zh-CN" w:bidi="ar-SA"/>
        </w:rPr>
        <w:t>不存在此项内容</w:t>
      </w:r>
      <w:r>
        <w:rPr>
          <w:rFonts w:hint="eastAsia" w:ascii="仿宋_GB2312" w:hAnsi="仿宋_GB2312" w:eastAsia="仿宋_GB2312" w:cs="仿宋_GB2312"/>
          <w:kern w:val="0"/>
          <w:sz w:val="32"/>
          <w:szCs w:val="32"/>
        </w:rPr>
        <w:t>。</w:t>
      </w:r>
    </w:p>
    <w:p w14:paraId="480FA089">
      <w:pPr>
        <w:pStyle w:val="29"/>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auto"/>
        <w:rPr>
          <w:rFonts w:ascii="Times New Roman" w:hAnsi="Times New Roman" w:eastAsia="Times New Roman" w:cs="Times New Roman"/>
          <w:kern w:val="0"/>
          <w:sz w:val="24"/>
        </w:rPr>
      </w:pPr>
      <w:r>
        <w:rPr>
          <w:rFonts w:hint="eastAsia" w:ascii="楷体_GB2312" w:hAnsi="楷体_GB2312" w:eastAsia="楷体_GB2312" w:cs="楷体_GB2312"/>
          <w:b/>
          <w:bCs/>
          <w:kern w:val="0"/>
          <w:sz w:val="32"/>
          <w:szCs w:val="32"/>
        </w:rPr>
        <w:t>（二）支出决算总计</w:t>
      </w:r>
      <w:r>
        <w:rPr>
          <w:rFonts w:hint="eastAsia" w:ascii="楷体_GB2312" w:hAnsi="楷体_GB2312" w:eastAsia="楷体_GB2312" w:cs="楷体_GB2312"/>
          <w:b/>
          <w:bCs/>
          <w:kern w:val="0"/>
          <w:sz w:val="32"/>
          <w:szCs w:val="32"/>
          <w:lang w:eastAsia="en-US"/>
        </w:rPr>
        <w:t>1871.72</w:t>
      </w:r>
      <w:r>
        <w:rPr>
          <w:rFonts w:hint="eastAsia" w:ascii="楷体_GB2312" w:hAnsi="楷体_GB2312" w:eastAsia="楷体_GB2312" w:cs="楷体_GB2312"/>
          <w:b/>
          <w:bCs/>
          <w:kern w:val="0"/>
          <w:sz w:val="32"/>
          <w:szCs w:val="32"/>
        </w:rPr>
        <w:t>万元。包括：</w:t>
      </w:r>
    </w:p>
    <w:p w14:paraId="2968ED86">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en-US"/>
        </w:rPr>
        <w:t>1.</w:t>
      </w:r>
      <w:r>
        <w:rPr>
          <w:rFonts w:hint="eastAsia" w:ascii="仿宋_GB2312" w:hAnsi="仿宋_GB2312" w:eastAsia="仿宋_GB2312" w:cs="仿宋_GB2312"/>
          <w:kern w:val="0"/>
          <w:sz w:val="32"/>
          <w:szCs w:val="32"/>
        </w:rPr>
        <w:t>本年支出决算合计</w:t>
      </w:r>
      <w:r>
        <w:rPr>
          <w:rFonts w:hint="eastAsia" w:ascii="仿宋_GB2312" w:hAnsi="仿宋_GB2312" w:eastAsia="仿宋_GB2312" w:cs="仿宋_GB2312"/>
          <w:kern w:val="0"/>
          <w:sz w:val="32"/>
          <w:szCs w:val="32"/>
          <w:u w:val="none"/>
          <w:lang w:eastAsia="en-US"/>
        </w:rPr>
        <w:t>1871.72</w:t>
      </w:r>
      <w:r>
        <w:rPr>
          <w:rFonts w:hint="eastAsia" w:ascii="仿宋_GB2312" w:hAnsi="仿宋_GB2312" w:eastAsia="仿宋_GB2312" w:cs="仿宋_GB2312"/>
          <w:kern w:val="0"/>
          <w:sz w:val="32"/>
          <w:szCs w:val="32"/>
        </w:rPr>
        <w:t>万元。与上年决算相比，增加</w:t>
      </w:r>
      <w:r>
        <w:rPr>
          <w:rFonts w:hint="eastAsia" w:ascii="仿宋_GB2312" w:hAnsi="仿宋_GB2312" w:eastAsia="仿宋_GB2312" w:cs="仿宋_GB2312"/>
          <w:kern w:val="0"/>
          <w:sz w:val="32"/>
          <w:szCs w:val="32"/>
          <w:u w:val="none"/>
          <w:lang w:eastAsia="en-US"/>
        </w:rPr>
        <w:t>99.06</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u w:val="none"/>
          <w:lang w:eastAsia="en-US"/>
        </w:rPr>
        <w:t>5.59</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，变动原因：</w:t>
      </w:r>
      <w:r>
        <w:rPr>
          <w:rFonts w:hint="eastAsia" w:ascii="仿宋_GB2312" w:hAnsi="仿宋_GB2312" w:eastAsia="仿宋_GB2312" w:cs="仿宋_GB2312"/>
          <w:kern w:val="2"/>
          <w:sz w:val="32"/>
          <w:szCs w:val="32"/>
          <w:lang w:val="en-US" w:eastAsia="zh-CN" w:bidi="ar-SA"/>
        </w:rPr>
        <w:t>因人员工资基数</w:t>
      </w:r>
      <w:r>
        <w:rPr>
          <w:rFonts w:hint="eastAsia" w:ascii="仿宋_GB2312" w:hAnsi="黑体" w:eastAsia="仿宋_GB2312" w:cs="Times New Roman"/>
          <w:kern w:val="2"/>
          <w:sz w:val="32"/>
          <w:szCs w:val="32"/>
          <w:lang w:val="en-US" w:eastAsia="zh-CN" w:bidi="ar-SA"/>
        </w:rPr>
        <w:t>上调，</w:t>
      </w:r>
      <w:r>
        <w:rPr>
          <w:rFonts w:hint="eastAsia" w:ascii="仿宋_GB2312" w:hAnsi="仿宋_GB2312" w:eastAsia="仿宋_GB2312" w:cs="仿宋_GB2312"/>
          <w:kern w:val="2"/>
          <w:sz w:val="32"/>
          <w:szCs w:val="32"/>
          <w:lang w:val="en-US" w:eastAsia="zh-CN" w:bidi="ar-SA"/>
        </w:rPr>
        <w:t>人员经费增加，且2025年年中追加了项目经费</w:t>
      </w:r>
      <w:r>
        <w:rPr>
          <w:rFonts w:hint="eastAsia" w:ascii="仿宋_GB2312" w:hAnsi="仿宋_GB2312" w:eastAsia="仿宋_GB2312" w:cs="仿宋_GB2312"/>
          <w:kern w:val="0"/>
          <w:sz w:val="32"/>
          <w:szCs w:val="32"/>
        </w:rPr>
        <w:t>。</w:t>
      </w:r>
    </w:p>
    <w:p w14:paraId="3C6F628B">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en-US"/>
        </w:rPr>
        <w:t>2.</w:t>
      </w:r>
      <w:r>
        <w:rPr>
          <w:rFonts w:hint="eastAsia" w:ascii="仿宋_GB2312" w:hAnsi="仿宋_GB2312" w:eastAsia="仿宋_GB2312" w:cs="仿宋_GB2312"/>
          <w:kern w:val="0"/>
          <w:sz w:val="32"/>
          <w:szCs w:val="32"/>
        </w:rPr>
        <w:t>结余分配</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rPr>
        <w:t>万元。结余分配事项：</w:t>
      </w:r>
      <w:r>
        <w:rPr>
          <w:rFonts w:hint="eastAsia" w:ascii="仿宋_GB2312" w:hAnsi="仿宋_GB2312" w:eastAsia="仿宋_GB2312" w:cs="仿宋_GB2312"/>
          <w:kern w:val="2"/>
          <w:sz w:val="32"/>
          <w:szCs w:val="32"/>
          <w:lang w:val="en-US" w:eastAsia="zh-CN" w:bidi="ar-SA"/>
        </w:rPr>
        <w:t>不存在此项内容</w:t>
      </w:r>
      <w:r>
        <w:rPr>
          <w:rFonts w:hint="eastAsia" w:ascii="仿宋_GB2312" w:hAnsi="仿宋_GB2312" w:eastAsia="仿宋_GB2312" w:cs="仿宋_GB2312"/>
          <w:kern w:val="0"/>
          <w:sz w:val="32"/>
          <w:szCs w:val="32"/>
        </w:rPr>
        <w:t>。与上年决算相比，增加</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，变动原因：</w:t>
      </w:r>
      <w:r>
        <w:rPr>
          <w:rFonts w:hint="eastAsia" w:ascii="仿宋_GB2312" w:hAnsi="仿宋_GB2312" w:eastAsia="仿宋_GB2312" w:cs="仿宋_GB2312"/>
          <w:kern w:val="2"/>
          <w:sz w:val="32"/>
          <w:szCs w:val="32"/>
          <w:lang w:val="en-US" w:eastAsia="zh-CN" w:bidi="ar-SA"/>
        </w:rPr>
        <w:t>不存在此项内容</w:t>
      </w:r>
      <w:r>
        <w:rPr>
          <w:rFonts w:hint="eastAsia" w:ascii="仿宋_GB2312" w:hAnsi="仿宋_GB2312" w:eastAsia="仿宋_GB2312" w:cs="仿宋_GB2312"/>
          <w:kern w:val="0"/>
          <w:sz w:val="32"/>
          <w:szCs w:val="32"/>
        </w:rPr>
        <w:t>。</w:t>
      </w:r>
    </w:p>
    <w:p w14:paraId="0C414652">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Times New Roman" w:cs="Times New Roman"/>
          <w:kern w:val="0"/>
          <w:sz w:val="24"/>
        </w:rPr>
      </w:pPr>
      <w:r>
        <w:rPr>
          <w:rFonts w:hint="eastAsia" w:ascii="仿宋_GB2312" w:hAnsi="仿宋_GB2312" w:eastAsia="仿宋_GB2312" w:cs="仿宋_GB2312"/>
          <w:kern w:val="0"/>
          <w:sz w:val="32"/>
          <w:szCs w:val="32"/>
          <w:lang w:eastAsia="en-US"/>
        </w:rPr>
        <w:t>3.</w:t>
      </w:r>
      <w:r>
        <w:rPr>
          <w:rFonts w:hint="eastAsia" w:ascii="仿宋_GB2312" w:hAnsi="仿宋_GB2312" w:eastAsia="仿宋_GB2312" w:cs="仿宋_GB2312"/>
          <w:kern w:val="0"/>
          <w:sz w:val="32"/>
          <w:szCs w:val="32"/>
        </w:rPr>
        <w:t>年末结转和结余</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rPr>
        <w:t>万元。结转和结余事项：</w:t>
      </w:r>
      <w:r>
        <w:rPr>
          <w:rFonts w:hint="eastAsia" w:ascii="仿宋_GB2312" w:hAnsi="仿宋_GB2312" w:eastAsia="仿宋_GB2312" w:cs="仿宋_GB2312"/>
          <w:kern w:val="2"/>
          <w:sz w:val="32"/>
          <w:szCs w:val="32"/>
          <w:lang w:val="en-US" w:eastAsia="zh-CN" w:bidi="ar-SA"/>
        </w:rPr>
        <w:t>不存在此项内容</w:t>
      </w:r>
      <w:r>
        <w:rPr>
          <w:rFonts w:hint="eastAsia" w:ascii="仿宋_GB2312" w:hAnsi="仿宋_GB2312" w:eastAsia="仿宋_GB2312" w:cs="仿宋_GB2312"/>
          <w:kern w:val="0"/>
          <w:sz w:val="32"/>
          <w:szCs w:val="32"/>
        </w:rPr>
        <w:t>。与上年决算相比，增加</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，变动原因：</w:t>
      </w:r>
      <w:r>
        <w:rPr>
          <w:rFonts w:hint="eastAsia" w:ascii="仿宋_GB2312" w:hAnsi="仿宋_GB2312" w:eastAsia="仿宋_GB2312" w:cs="仿宋_GB2312"/>
          <w:kern w:val="2"/>
          <w:sz w:val="32"/>
          <w:szCs w:val="32"/>
          <w:lang w:val="en-US" w:eastAsia="zh-CN" w:bidi="ar-SA"/>
        </w:rPr>
        <w:t>不存在此项内容</w:t>
      </w:r>
      <w:r>
        <w:rPr>
          <w:rFonts w:hint="eastAsia" w:ascii="仿宋_GB2312" w:hAnsi="仿宋_GB2312" w:eastAsia="仿宋_GB2312" w:cs="仿宋_GB2312"/>
          <w:kern w:val="0"/>
          <w:sz w:val="32"/>
          <w:szCs w:val="32"/>
        </w:rPr>
        <w:t>。</w:t>
      </w:r>
    </w:p>
    <w:p w14:paraId="62E36871">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Times New Roman" w:cs="Times New Roman"/>
          <w:kern w:val="0"/>
          <w:sz w:val="24"/>
        </w:rPr>
      </w:pPr>
      <w:r>
        <w:rPr>
          <w:rFonts w:ascii="黑体" w:hAnsi="黑体" w:eastAsia="黑体" w:cs="黑体"/>
          <w:b w:val="0"/>
          <w:bCs w:val="0"/>
          <w:kern w:val="0"/>
          <w:sz w:val="32"/>
          <w:szCs w:val="32"/>
        </w:rPr>
        <w:t>二、收入决算情况说明</w:t>
      </w:r>
    </w:p>
    <w:p w14:paraId="3481E9AE">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内蒙古大兴安岭森林公安局北部原始林区分局</w:t>
      </w:r>
      <w:r>
        <w:rPr>
          <w:rFonts w:hint="eastAsia" w:ascii="仿宋_GB2312" w:hAnsi="仿宋_GB2312" w:eastAsia="仿宋_GB2312" w:cs="仿宋_GB2312"/>
          <w:kern w:val="0"/>
          <w:sz w:val="32"/>
          <w:szCs w:val="32"/>
          <w:lang w:eastAsia="en-US"/>
        </w:rPr>
        <w:t>2025</w:t>
      </w:r>
      <w:r>
        <w:rPr>
          <w:rFonts w:hint="eastAsia" w:ascii="仿宋_GB2312" w:hAnsi="仿宋_GB2312" w:eastAsia="仿宋_GB2312" w:cs="仿宋_GB2312"/>
          <w:kern w:val="0"/>
          <w:sz w:val="32"/>
          <w:szCs w:val="32"/>
        </w:rPr>
        <w:t>年度本年收入决算合计</w:t>
      </w:r>
      <w:r>
        <w:rPr>
          <w:rFonts w:hint="eastAsia" w:ascii="仿宋_GB2312" w:hAnsi="仿宋_GB2312" w:eastAsia="仿宋_GB2312" w:cs="仿宋_GB2312"/>
          <w:kern w:val="0"/>
          <w:sz w:val="32"/>
          <w:szCs w:val="32"/>
          <w:u w:val="none"/>
          <w:lang w:eastAsia="en-US"/>
        </w:rPr>
        <w:t>1871.72</w:t>
      </w:r>
      <w:r>
        <w:rPr>
          <w:rFonts w:hint="eastAsia" w:ascii="仿宋_GB2312" w:hAnsi="仿宋_GB2312" w:eastAsia="仿宋_GB2312" w:cs="仿宋_GB2312"/>
          <w:kern w:val="0"/>
          <w:sz w:val="32"/>
          <w:szCs w:val="32"/>
        </w:rPr>
        <w:t>万元，其中：</w:t>
      </w:r>
    </w:p>
    <w:p w14:paraId="2240C0F5">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一般公共预算财政拨款收入</w:t>
      </w:r>
      <w:r>
        <w:rPr>
          <w:rFonts w:hint="eastAsia" w:ascii="仿宋_GB2312" w:hAnsi="仿宋_GB2312" w:eastAsia="仿宋_GB2312" w:cs="仿宋_GB2312"/>
          <w:kern w:val="0"/>
          <w:sz w:val="32"/>
          <w:szCs w:val="32"/>
          <w:u w:val="none"/>
          <w:lang w:eastAsia="en-US"/>
        </w:rPr>
        <w:t>1871.72</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none"/>
          <w:lang w:eastAsia="en-US"/>
        </w:rPr>
        <w:t>100.00</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w:t>
      </w:r>
    </w:p>
    <w:p w14:paraId="586CFE48">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政府性基金预算财政拨款收入</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w:t>
      </w:r>
    </w:p>
    <w:p w14:paraId="7724195A">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国有资本经营预算财政拨款收入</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w:t>
      </w:r>
    </w:p>
    <w:p w14:paraId="462D9DF9">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上级补助收入</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w:t>
      </w:r>
    </w:p>
    <w:p w14:paraId="12E1EA6B">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事业收入</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w:t>
      </w:r>
    </w:p>
    <w:p w14:paraId="24F1CC49">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经营收入</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w:t>
      </w:r>
    </w:p>
    <w:p w14:paraId="561A254D">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附属单位上缴收入</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w:t>
      </w:r>
    </w:p>
    <w:p w14:paraId="6E238E47">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其他收入</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w:t>
      </w:r>
      <w:r>
        <w:rPr>
          <w:rFonts w:ascii="Times New Roman" w:hAnsi="Times New Roman" w:eastAsia="Times New Roman" w:cs="Times New Roman"/>
          <w:strike w:val="0"/>
          <w:kern w:val="0"/>
          <w:sz w:val="24"/>
          <w:u w:val="none"/>
        </w:rPr>
        <w:drawing>
          <wp:anchor distT="3810" distB="3810" distL="114935" distR="114935" simplePos="0" relativeHeight="251659264" behindDoc="0" locked="0" layoutInCell="1" allowOverlap="1">
            <wp:simplePos x="0" y="0"/>
            <wp:positionH relativeFrom="column">
              <wp:posOffset>382905</wp:posOffset>
            </wp:positionH>
            <wp:positionV relativeFrom="paragraph">
              <wp:posOffset>513080</wp:posOffset>
            </wp:positionV>
            <wp:extent cx="4679950" cy="2879725"/>
            <wp:effectExtent l="0" t="0" r="6350" b="3175"/>
            <wp:wrapTopAndBottom/>
            <wp:docPr id="1" name="图片 3"/>
            <wp:cNvGraphicFramePr/>
            <a:graphic xmlns:a="http://schemas.openxmlformats.org/drawingml/2006/main">
              <a:graphicData uri="http://schemas.openxmlformats.org/drawingml/2006/picture">
                <pic:pic xmlns:pic="http://schemas.openxmlformats.org/drawingml/2006/picture">
                  <pic:nvPicPr>
                    <pic:cNvPr id="1" name="图片 3"/>
                    <pic:cNvPicPr/>
                  </pic:nvPicPr>
                  <pic:blipFill>
                    <a:blip r:embed="rId6"/>
                    <a:srcRect/>
                    <a:stretch>
                      <a:fillRect/>
                    </a:stretch>
                  </pic:blipFill>
                  <pic:spPr>
                    <a:xfrm>
                      <a:off x="0" y="0"/>
                      <a:ext cx="4679950" cy="2879725"/>
                    </a:xfrm>
                    <a:prstGeom prst="rect">
                      <a:avLst/>
                    </a:prstGeom>
                    <a:noFill/>
                    <a:ln>
                      <a:noFill/>
                    </a:ln>
                  </pic:spPr>
                </pic:pic>
              </a:graphicData>
            </a:graphic>
          </wp:anchor>
        </w:drawing>
      </w:r>
    </w:p>
    <w:p w14:paraId="4E012F7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Times New Roman" w:hAnsi="Times New Roman" w:eastAsia="Times New Roman" w:cs="Times New Roman"/>
          <w:kern w:val="0"/>
          <w:sz w:val="27"/>
          <w:szCs w:val="27"/>
        </w:rPr>
      </w:pPr>
      <w:r>
        <w:rPr>
          <w:rFonts w:hint="eastAsia" w:ascii="仿宋_GB2312" w:hAnsi="仿宋_GB2312" w:eastAsia="仿宋_GB2312" w:cs="仿宋_GB2312"/>
          <w:kern w:val="0"/>
          <w:sz w:val="27"/>
          <w:szCs w:val="27"/>
          <w:lang w:val="en-US" w:eastAsia="zh-CN" w:bidi="ar-SA"/>
        </w:rPr>
        <w:t>图1.收入决算图</w:t>
      </w:r>
    </w:p>
    <w:p w14:paraId="3943DB89">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Times New Roman" w:cs="Times New Roman"/>
          <w:kern w:val="0"/>
          <w:sz w:val="24"/>
        </w:rPr>
      </w:pPr>
      <w:r>
        <w:rPr>
          <w:rFonts w:ascii="黑体" w:hAnsi="黑体" w:eastAsia="黑体" w:cs="黑体"/>
          <w:b w:val="0"/>
          <w:bCs w:val="0"/>
          <w:kern w:val="0"/>
          <w:sz w:val="32"/>
          <w:szCs w:val="32"/>
        </w:rPr>
        <w:t>三、支出决算情况说明</w:t>
      </w:r>
    </w:p>
    <w:p w14:paraId="0B2B81AD">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内蒙古大兴安岭森林公安局北部原始林区分局</w:t>
      </w:r>
      <w:r>
        <w:rPr>
          <w:rFonts w:hint="eastAsia" w:ascii="仿宋_GB2312" w:hAnsi="仿宋_GB2312" w:eastAsia="仿宋_GB2312" w:cs="仿宋_GB2312"/>
          <w:kern w:val="0"/>
          <w:sz w:val="32"/>
          <w:szCs w:val="32"/>
          <w:lang w:eastAsia="en-US"/>
        </w:rPr>
        <w:t>2025</w:t>
      </w:r>
      <w:r>
        <w:rPr>
          <w:rFonts w:hint="eastAsia" w:ascii="仿宋_GB2312" w:hAnsi="仿宋_GB2312" w:eastAsia="仿宋_GB2312" w:cs="仿宋_GB2312"/>
          <w:kern w:val="0"/>
          <w:sz w:val="32"/>
          <w:szCs w:val="32"/>
        </w:rPr>
        <w:t>年度本年支出决算合计</w:t>
      </w:r>
      <w:r>
        <w:rPr>
          <w:rFonts w:hint="eastAsia" w:ascii="仿宋_GB2312" w:hAnsi="仿宋_GB2312" w:eastAsia="仿宋_GB2312" w:cs="仿宋_GB2312"/>
          <w:kern w:val="0"/>
          <w:sz w:val="32"/>
          <w:szCs w:val="32"/>
          <w:u w:val="none"/>
          <w:lang w:eastAsia="en-US"/>
        </w:rPr>
        <w:t>1871.72</w:t>
      </w:r>
      <w:r>
        <w:rPr>
          <w:rFonts w:hint="eastAsia" w:ascii="仿宋_GB2312" w:hAnsi="仿宋_GB2312" w:eastAsia="仿宋_GB2312" w:cs="仿宋_GB2312"/>
          <w:kern w:val="0"/>
          <w:sz w:val="32"/>
          <w:szCs w:val="32"/>
        </w:rPr>
        <w:t>万元，其中：</w:t>
      </w:r>
    </w:p>
    <w:p w14:paraId="5FDE4D63">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基本支出</w:t>
      </w:r>
      <w:r>
        <w:rPr>
          <w:rFonts w:hint="eastAsia" w:ascii="仿宋_GB2312" w:hAnsi="仿宋_GB2312" w:eastAsia="仿宋_GB2312" w:cs="仿宋_GB2312"/>
          <w:kern w:val="0"/>
          <w:sz w:val="32"/>
          <w:szCs w:val="32"/>
          <w:u w:val="none"/>
          <w:lang w:eastAsia="en-US"/>
        </w:rPr>
        <w:t>1784.72</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none"/>
          <w:lang w:eastAsia="en-US"/>
        </w:rPr>
        <w:t>95.35</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w:t>
      </w:r>
    </w:p>
    <w:p w14:paraId="06C5D9B1">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项目支出</w:t>
      </w:r>
      <w:r>
        <w:rPr>
          <w:rFonts w:hint="eastAsia" w:ascii="仿宋_GB2312" w:hAnsi="仿宋_GB2312" w:eastAsia="仿宋_GB2312" w:cs="仿宋_GB2312"/>
          <w:kern w:val="0"/>
          <w:sz w:val="32"/>
          <w:szCs w:val="32"/>
          <w:u w:val="none"/>
          <w:lang w:eastAsia="en-US"/>
        </w:rPr>
        <w:t>87.00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none"/>
          <w:lang w:eastAsia="en-US"/>
        </w:rPr>
        <w:t>4.65</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w:t>
      </w:r>
    </w:p>
    <w:p w14:paraId="0D0E6C7B">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上缴上级支出</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w:t>
      </w:r>
    </w:p>
    <w:p w14:paraId="58D5EF58">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经营支出</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w:t>
      </w:r>
    </w:p>
    <w:p w14:paraId="7E7D3885">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Times New Roman" w:cs="Times New Roman"/>
          <w:kern w:val="0"/>
          <w:sz w:val="24"/>
        </w:rPr>
      </w:pPr>
      <w:r>
        <w:rPr>
          <w:rFonts w:hint="eastAsia" w:ascii="仿宋_GB2312" w:hAnsi="仿宋_GB2312" w:eastAsia="仿宋_GB2312" w:cs="仿宋_GB2312"/>
          <w:kern w:val="0"/>
          <w:sz w:val="32"/>
          <w:szCs w:val="32"/>
        </w:rPr>
        <w:t>对附属单位补助支出</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w:t>
      </w:r>
    </w:p>
    <w:p w14:paraId="3AEA29C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黑体" w:hAnsi="黑体" w:eastAsia="黑体" w:cs="黑体"/>
          <w:b w:val="0"/>
          <w:bCs w:val="0"/>
          <w:kern w:val="0"/>
          <w:sz w:val="32"/>
          <w:szCs w:val="32"/>
        </w:rPr>
      </w:pPr>
      <w:r>
        <w:drawing>
          <wp:anchor distT="36195" distB="36195" distL="114935" distR="114935" simplePos="0" relativeHeight="251660288" behindDoc="0" locked="0" layoutInCell="1" allowOverlap="1">
            <wp:simplePos x="0" y="0"/>
            <wp:positionH relativeFrom="column">
              <wp:posOffset>268605</wp:posOffset>
            </wp:positionH>
            <wp:positionV relativeFrom="paragraph">
              <wp:posOffset>146050</wp:posOffset>
            </wp:positionV>
            <wp:extent cx="4610100" cy="2362835"/>
            <wp:effectExtent l="0" t="0" r="0" b="12065"/>
            <wp:wrapTopAndBottom/>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hint="eastAsia" w:ascii="仿宋_GB2312" w:hAnsi="仿宋_GB2312" w:eastAsia="仿宋_GB2312" w:cs="仿宋_GB2312"/>
          <w:kern w:val="0"/>
          <w:sz w:val="27"/>
          <w:szCs w:val="27"/>
          <w:lang w:val="en-US" w:eastAsia="zh-CN" w:bidi="ar-SA"/>
        </w:rPr>
        <w:t>图2.支出决算图</w:t>
      </w:r>
    </w:p>
    <w:p w14:paraId="0CC0B475">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Times New Roman" w:cs="Times New Roman"/>
          <w:kern w:val="0"/>
          <w:sz w:val="24"/>
        </w:rPr>
      </w:pPr>
      <w:r>
        <w:rPr>
          <w:rFonts w:ascii="黑体" w:hAnsi="黑体" w:eastAsia="黑体" w:cs="黑体"/>
          <w:b w:val="0"/>
          <w:bCs w:val="0"/>
          <w:kern w:val="0"/>
          <w:sz w:val="32"/>
          <w:szCs w:val="32"/>
        </w:rPr>
        <w:t>四、财政拨款收入支出决算总体情况说明</w:t>
      </w:r>
    </w:p>
    <w:p w14:paraId="4D4328F8">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Times New Roman" w:cs="Times New Roman"/>
          <w:kern w:val="0"/>
          <w:sz w:val="24"/>
        </w:rPr>
      </w:pPr>
      <w:r>
        <w:rPr>
          <w:rFonts w:hint="eastAsia" w:ascii="仿宋_GB2312" w:hAnsi="仿宋_GB2312" w:eastAsia="仿宋_GB2312" w:cs="仿宋_GB2312"/>
          <w:kern w:val="0"/>
          <w:sz w:val="32"/>
          <w:szCs w:val="32"/>
        </w:rPr>
        <w:t>内蒙古大兴安岭森林公安局北部原始林区分局</w:t>
      </w:r>
      <w:r>
        <w:rPr>
          <w:rFonts w:hint="eastAsia" w:ascii="仿宋_GB2312" w:hAnsi="仿宋_GB2312" w:eastAsia="仿宋_GB2312" w:cs="仿宋_GB2312"/>
          <w:kern w:val="0"/>
          <w:sz w:val="32"/>
          <w:szCs w:val="32"/>
          <w:lang w:eastAsia="en-US"/>
        </w:rPr>
        <w:t>2025</w:t>
      </w:r>
      <w:r>
        <w:rPr>
          <w:rFonts w:hint="eastAsia" w:ascii="仿宋_GB2312" w:hAnsi="仿宋_GB2312" w:eastAsia="仿宋_GB2312" w:cs="仿宋_GB2312"/>
          <w:kern w:val="0"/>
          <w:sz w:val="32"/>
          <w:szCs w:val="32"/>
        </w:rPr>
        <w:t>年度财政拨款收入、支出决算总计均为</w:t>
      </w:r>
      <w:r>
        <w:rPr>
          <w:rFonts w:hint="eastAsia" w:ascii="仿宋_GB2312" w:hAnsi="仿宋_GB2312" w:eastAsia="仿宋_GB2312" w:cs="仿宋_GB2312"/>
          <w:kern w:val="0"/>
          <w:sz w:val="32"/>
          <w:szCs w:val="32"/>
          <w:u w:val="none"/>
          <w:lang w:eastAsia="en-US"/>
        </w:rPr>
        <w:t>1871.72</w:t>
      </w:r>
      <w:r>
        <w:rPr>
          <w:rFonts w:hint="eastAsia" w:ascii="仿宋_GB2312" w:hAnsi="仿宋_GB2312" w:eastAsia="仿宋_GB2312" w:cs="仿宋_GB2312"/>
          <w:kern w:val="0"/>
          <w:sz w:val="32"/>
          <w:szCs w:val="32"/>
        </w:rPr>
        <w:t>万元，与年初预算相比，收、支总计各增加</w:t>
      </w:r>
      <w:r>
        <w:rPr>
          <w:rFonts w:hint="eastAsia" w:ascii="仿宋_GB2312" w:hAnsi="仿宋_GB2312" w:eastAsia="仿宋_GB2312" w:cs="仿宋_GB2312"/>
          <w:kern w:val="0"/>
          <w:sz w:val="32"/>
          <w:szCs w:val="32"/>
          <w:u w:val="none"/>
          <w:lang w:eastAsia="en-US"/>
        </w:rPr>
        <w:t>70.42</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u w:val="none"/>
          <w:lang w:eastAsia="en-US"/>
        </w:rPr>
        <w:t>3.91</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，变动原因：</w:t>
      </w:r>
      <w:r>
        <w:rPr>
          <w:rFonts w:hint="eastAsia" w:ascii="仿宋_GB2312" w:hAnsi="仿宋_GB2312" w:eastAsia="仿宋_GB2312" w:cs="仿宋_GB2312"/>
          <w:kern w:val="2"/>
          <w:sz w:val="32"/>
          <w:szCs w:val="32"/>
          <w:lang w:val="en-US" w:eastAsia="zh-CN" w:bidi="ar-SA"/>
        </w:rPr>
        <w:t>因人员工资基数</w:t>
      </w:r>
      <w:r>
        <w:rPr>
          <w:rFonts w:hint="eastAsia" w:ascii="仿宋_GB2312" w:hAnsi="黑体" w:eastAsia="仿宋_GB2312" w:cs="Times New Roman"/>
          <w:kern w:val="2"/>
          <w:sz w:val="32"/>
          <w:szCs w:val="32"/>
          <w:lang w:val="en-US" w:eastAsia="zh-CN" w:bidi="ar-SA"/>
        </w:rPr>
        <w:t>上调，</w:t>
      </w:r>
      <w:r>
        <w:rPr>
          <w:rFonts w:hint="eastAsia" w:ascii="仿宋_GB2312" w:hAnsi="仿宋_GB2312" w:eastAsia="仿宋_GB2312" w:cs="仿宋_GB2312"/>
          <w:kern w:val="2"/>
          <w:sz w:val="32"/>
          <w:szCs w:val="32"/>
          <w:lang w:val="en-US" w:eastAsia="zh-CN" w:bidi="ar-SA"/>
        </w:rPr>
        <w:t>人员经费增加，且年中追加了项目经费</w:t>
      </w:r>
      <w:r>
        <w:rPr>
          <w:rFonts w:hint="eastAsia" w:ascii="仿宋_GB2312" w:hAnsi="仿宋_GB2312" w:eastAsia="仿宋_GB2312" w:cs="仿宋_GB2312"/>
          <w:kern w:val="0"/>
          <w:sz w:val="32"/>
          <w:szCs w:val="32"/>
        </w:rPr>
        <w:t>；与上年决算相比，收、支总计各增加</w:t>
      </w:r>
      <w:r>
        <w:rPr>
          <w:rFonts w:hint="eastAsia" w:ascii="仿宋_GB2312" w:hAnsi="仿宋_GB2312" w:eastAsia="仿宋_GB2312" w:cs="仿宋_GB2312"/>
          <w:kern w:val="0"/>
          <w:sz w:val="32"/>
          <w:szCs w:val="32"/>
          <w:u w:val="none"/>
          <w:lang w:eastAsia="en-US"/>
        </w:rPr>
        <w:t>99.06</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u w:val="none"/>
          <w:lang w:eastAsia="en-US"/>
        </w:rPr>
        <w:t>5.59</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，变动原因：</w:t>
      </w:r>
      <w:r>
        <w:rPr>
          <w:rFonts w:hint="eastAsia" w:ascii="仿宋_GB2312" w:hAnsi="仿宋_GB2312" w:eastAsia="仿宋_GB2312" w:cs="仿宋_GB2312"/>
          <w:kern w:val="2"/>
          <w:sz w:val="32"/>
          <w:szCs w:val="32"/>
          <w:lang w:val="en-US" w:eastAsia="zh-CN" w:bidi="ar-SA"/>
        </w:rPr>
        <w:t>因人员工资基数</w:t>
      </w:r>
      <w:r>
        <w:rPr>
          <w:rFonts w:hint="eastAsia" w:ascii="仿宋_GB2312" w:hAnsi="黑体" w:eastAsia="仿宋_GB2312" w:cs="Times New Roman"/>
          <w:kern w:val="2"/>
          <w:sz w:val="32"/>
          <w:szCs w:val="32"/>
          <w:lang w:val="en-US" w:eastAsia="zh-CN" w:bidi="ar-SA"/>
        </w:rPr>
        <w:t>上调，</w:t>
      </w:r>
      <w:r>
        <w:rPr>
          <w:rFonts w:hint="eastAsia" w:ascii="仿宋_GB2312" w:hAnsi="仿宋_GB2312" w:eastAsia="仿宋_GB2312" w:cs="仿宋_GB2312"/>
          <w:kern w:val="2"/>
          <w:sz w:val="32"/>
          <w:szCs w:val="32"/>
          <w:lang w:val="en-US" w:eastAsia="zh-CN" w:bidi="ar-SA"/>
        </w:rPr>
        <w:t>人员经费增加，且年中追加了项目经费</w:t>
      </w:r>
      <w:r>
        <w:rPr>
          <w:rFonts w:hint="eastAsia" w:ascii="仿宋_GB2312" w:hAnsi="仿宋_GB2312" w:eastAsia="仿宋_GB2312" w:cs="仿宋_GB2312"/>
          <w:kern w:val="0"/>
          <w:sz w:val="32"/>
          <w:szCs w:val="32"/>
        </w:rPr>
        <w:t>。</w:t>
      </w:r>
    </w:p>
    <w:p w14:paraId="400EAD26">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Times New Roman" w:cs="Times New Roman"/>
          <w:kern w:val="0"/>
          <w:sz w:val="24"/>
        </w:rPr>
      </w:pPr>
      <w:r>
        <w:rPr>
          <w:rFonts w:ascii="黑体" w:hAnsi="黑体" w:eastAsia="黑体" w:cs="黑体"/>
          <w:b w:val="0"/>
          <w:bCs w:val="0"/>
          <w:kern w:val="0"/>
          <w:sz w:val="32"/>
          <w:szCs w:val="32"/>
        </w:rPr>
        <w:t>五、一般公共预算财政拨款支出决算情况说明</w:t>
      </w:r>
    </w:p>
    <w:p w14:paraId="3439A996">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Times New Roman" w:cs="Times New Roman"/>
          <w:kern w:val="0"/>
          <w:sz w:val="24"/>
        </w:rPr>
      </w:pPr>
      <w:r>
        <w:rPr>
          <w:rFonts w:hint="eastAsia" w:ascii="仿宋_GB2312" w:hAnsi="仿宋_GB2312" w:eastAsia="仿宋_GB2312" w:cs="仿宋_GB2312"/>
          <w:kern w:val="0"/>
          <w:sz w:val="32"/>
          <w:szCs w:val="32"/>
        </w:rPr>
        <w:t>内蒙古大兴安岭森林公安局北部原始林区分局</w:t>
      </w:r>
      <w:r>
        <w:rPr>
          <w:rFonts w:hint="eastAsia" w:ascii="仿宋_GB2312" w:hAnsi="仿宋_GB2312" w:eastAsia="仿宋_GB2312" w:cs="仿宋_GB2312"/>
          <w:kern w:val="0"/>
          <w:sz w:val="32"/>
          <w:szCs w:val="32"/>
          <w:lang w:eastAsia="en-US"/>
        </w:rPr>
        <w:t>2025</w:t>
      </w:r>
      <w:r>
        <w:rPr>
          <w:rFonts w:hint="eastAsia" w:ascii="仿宋_GB2312" w:hAnsi="仿宋_GB2312" w:eastAsia="仿宋_GB2312" w:cs="仿宋_GB2312"/>
          <w:kern w:val="0"/>
          <w:sz w:val="32"/>
          <w:szCs w:val="32"/>
        </w:rPr>
        <w:t>年度一般公共预算财政拨款支出决算</w:t>
      </w:r>
      <w:r>
        <w:rPr>
          <w:rFonts w:hint="eastAsia" w:ascii="仿宋_GB2312" w:hAnsi="仿宋_GB2312" w:eastAsia="仿宋_GB2312" w:cs="仿宋_GB2312"/>
          <w:kern w:val="0"/>
          <w:sz w:val="32"/>
          <w:szCs w:val="32"/>
          <w:u w:val="none"/>
          <w:lang w:eastAsia="en-US"/>
        </w:rPr>
        <w:t>1871.72</w:t>
      </w:r>
      <w:r>
        <w:rPr>
          <w:rFonts w:hint="eastAsia" w:ascii="仿宋_GB2312" w:hAnsi="仿宋_GB2312" w:eastAsia="仿宋_GB2312" w:cs="仿宋_GB2312"/>
          <w:kern w:val="0"/>
          <w:sz w:val="32"/>
          <w:szCs w:val="32"/>
        </w:rPr>
        <w:t>万元。与年初预算</w:t>
      </w:r>
      <w:r>
        <w:rPr>
          <w:rFonts w:hint="eastAsia" w:ascii="仿宋_GB2312" w:hAnsi="仿宋_GB2312" w:eastAsia="仿宋_GB2312" w:cs="仿宋_GB2312"/>
          <w:kern w:val="0"/>
          <w:sz w:val="32"/>
          <w:szCs w:val="32"/>
          <w:u w:val="none"/>
          <w:lang w:eastAsia="en-US"/>
        </w:rPr>
        <w:t>1801.30</w:t>
      </w:r>
      <w:r>
        <w:rPr>
          <w:rFonts w:hint="eastAsia" w:ascii="仿宋_GB2312" w:hAnsi="仿宋_GB2312" w:eastAsia="仿宋_GB2312" w:cs="仿宋_GB2312"/>
          <w:kern w:val="0"/>
          <w:sz w:val="32"/>
          <w:szCs w:val="32"/>
        </w:rPr>
        <w:t>万元相比，完成年初预算的</w:t>
      </w:r>
      <w:r>
        <w:rPr>
          <w:rFonts w:hint="eastAsia" w:ascii="仿宋_GB2312" w:hAnsi="仿宋_GB2312" w:eastAsia="仿宋_GB2312" w:cs="仿宋_GB2312"/>
          <w:kern w:val="0"/>
          <w:sz w:val="32"/>
          <w:szCs w:val="32"/>
          <w:u w:val="none"/>
          <w:lang w:eastAsia="en-US"/>
        </w:rPr>
        <w:t>103.91</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。其中：</w:t>
      </w:r>
    </w:p>
    <w:p w14:paraId="3E07D207">
      <w:pPr>
        <w:pStyle w:val="29"/>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b/>
          <w:bCs/>
          <w:kern w:val="0"/>
          <w:sz w:val="32"/>
          <w:szCs w:val="32"/>
        </w:rPr>
        <w:t>（</w:t>
      </w:r>
      <w:r>
        <w:rPr>
          <w:rFonts w:hint="eastAsia" w:ascii="楷体_GB2312" w:hAnsi="楷体_GB2312" w:eastAsia="楷体_GB2312" w:cs="楷体_GB2312"/>
          <w:b/>
          <w:bCs/>
          <w:kern w:val="0"/>
          <w:sz w:val="32"/>
          <w:szCs w:val="32"/>
          <w:lang w:val="en-US" w:eastAsia="zh-CN"/>
        </w:rPr>
        <w:t>一</w:t>
      </w:r>
      <w:r>
        <w:rPr>
          <w:rFonts w:hint="eastAsia" w:ascii="楷体_GB2312" w:hAnsi="楷体_GB2312" w:eastAsia="楷体_GB2312" w:cs="楷体_GB2312"/>
          <w:b/>
          <w:bCs/>
          <w:kern w:val="0"/>
          <w:sz w:val="32"/>
          <w:szCs w:val="32"/>
        </w:rPr>
        <w:t>）公共安全（类）</w:t>
      </w:r>
    </w:p>
    <w:p w14:paraId="71F88517">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公共安全（类）决算数为</w:t>
      </w:r>
      <w:r>
        <w:rPr>
          <w:rFonts w:hint="eastAsia" w:ascii="仿宋_GB2312" w:hAnsi="仿宋_GB2312" w:eastAsia="仿宋_GB2312" w:cs="仿宋_GB2312"/>
          <w:kern w:val="0"/>
          <w:sz w:val="32"/>
          <w:szCs w:val="32"/>
          <w:u w:val="none"/>
          <w:lang w:eastAsia="en-US"/>
        </w:rPr>
        <w:t>1432.45</w:t>
      </w:r>
      <w:r>
        <w:rPr>
          <w:rFonts w:hint="eastAsia" w:ascii="仿宋_GB2312" w:hAnsi="仿宋_GB2312" w:eastAsia="仿宋_GB2312" w:cs="仿宋_GB2312"/>
          <w:kern w:val="0"/>
          <w:sz w:val="32"/>
          <w:szCs w:val="32"/>
        </w:rPr>
        <w:t>万元，与年初预算相比增加</w:t>
      </w:r>
      <w:r>
        <w:rPr>
          <w:rFonts w:hint="eastAsia" w:ascii="仿宋_GB2312" w:hAnsi="仿宋_GB2312" w:eastAsia="仿宋_GB2312" w:cs="仿宋_GB2312"/>
          <w:kern w:val="0"/>
          <w:sz w:val="32"/>
          <w:szCs w:val="32"/>
          <w:u w:val="none"/>
          <w:lang w:eastAsia="en-US"/>
        </w:rPr>
        <w:t>45.21</w:t>
      </w:r>
      <w:r>
        <w:rPr>
          <w:rFonts w:hint="eastAsia" w:ascii="仿宋_GB2312" w:hAnsi="仿宋_GB2312" w:eastAsia="仿宋_GB2312" w:cs="仿宋_GB2312"/>
          <w:kern w:val="0"/>
          <w:sz w:val="32"/>
          <w:szCs w:val="32"/>
        </w:rPr>
        <w:t>万元。其中：</w:t>
      </w:r>
    </w:p>
    <w:p w14:paraId="38B65CBB">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en-US"/>
        </w:rPr>
        <w:t>1</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公安（款）行政运行（项）。年初预算</w:t>
      </w:r>
      <w:r>
        <w:rPr>
          <w:rFonts w:hint="eastAsia" w:ascii="仿宋_GB2312" w:hAnsi="仿宋_GB2312" w:eastAsia="仿宋_GB2312" w:cs="仿宋_GB2312"/>
          <w:kern w:val="0"/>
          <w:sz w:val="32"/>
          <w:szCs w:val="32"/>
          <w:u w:val="none"/>
          <w:lang w:val="en-US" w:eastAsia="zh-CN"/>
        </w:rPr>
        <w:t>1345.24</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none"/>
          <w:lang w:val="en-US" w:eastAsia="zh-CN"/>
        </w:rPr>
        <w:t>1345.45</w:t>
      </w:r>
      <w:r>
        <w:rPr>
          <w:rFonts w:hint="eastAsia" w:ascii="仿宋_GB2312" w:hAnsi="仿宋_GB2312" w:eastAsia="仿宋_GB2312" w:cs="仿宋_GB2312"/>
          <w:kern w:val="0"/>
          <w:sz w:val="32"/>
          <w:szCs w:val="32"/>
        </w:rPr>
        <w:t>万元，完成年初预算的</w:t>
      </w:r>
      <w:r>
        <w:rPr>
          <w:rFonts w:hint="eastAsia" w:ascii="仿宋_GB2312" w:hAnsi="仿宋_GB2312" w:eastAsia="仿宋_GB2312" w:cs="仿宋_GB2312"/>
          <w:kern w:val="0"/>
          <w:sz w:val="32"/>
          <w:szCs w:val="32"/>
          <w:u w:val="none"/>
          <w:lang w:val="en-US" w:eastAsia="zh-CN"/>
        </w:rPr>
        <w:t>100.02</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。决算数与年初预算数的差异原因：</w:t>
      </w:r>
      <w:r>
        <w:rPr>
          <w:rFonts w:hint="eastAsia" w:ascii="仿宋_GB2312" w:hAnsi="仿宋_GB2312" w:eastAsia="仿宋_GB2312" w:cs="仿宋_GB2312"/>
          <w:kern w:val="2"/>
          <w:sz w:val="32"/>
          <w:szCs w:val="32"/>
          <w:lang w:val="en-US" w:eastAsia="zh-CN" w:bidi="ar-SA"/>
        </w:rPr>
        <w:t>因人员工资基数</w:t>
      </w:r>
      <w:r>
        <w:rPr>
          <w:rFonts w:hint="eastAsia" w:ascii="仿宋_GB2312" w:hAnsi="黑体" w:eastAsia="仿宋_GB2312" w:cs="Times New Roman"/>
          <w:kern w:val="2"/>
          <w:sz w:val="32"/>
          <w:szCs w:val="32"/>
          <w:lang w:val="en-US" w:eastAsia="zh-CN" w:bidi="ar-SA"/>
        </w:rPr>
        <w:t>上调，</w:t>
      </w:r>
      <w:r>
        <w:rPr>
          <w:rFonts w:hint="eastAsia" w:ascii="仿宋_GB2312" w:hAnsi="仿宋_GB2312" w:eastAsia="仿宋_GB2312" w:cs="仿宋_GB2312"/>
          <w:kern w:val="2"/>
          <w:sz w:val="32"/>
          <w:szCs w:val="32"/>
          <w:lang w:val="en-US" w:eastAsia="zh-CN" w:bidi="ar-SA"/>
        </w:rPr>
        <w:t>人员经费增加</w:t>
      </w:r>
      <w:r>
        <w:rPr>
          <w:rFonts w:hint="eastAsia" w:ascii="仿宋_GB2312" w:hAnsi="仿宋_GB2312" w:eastAsia="仿宋_GB2312" w:cs="仿宋_GB2312"/>
          <w:kern w:val="0"/>
          <w:sz w:val="32"/>
          <w:szCs w:val="32"/>
        </w:rPr>
        <w:t>。</w:t>
      </w:r>
    </w:p>
    <w:p w14:paraId="0776A4AE">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lang w:val="en-US"/>
        </w:rPr>
      </w:pPr>
      <w:r>
        <w:rPr>
          <w:rFonts w:hint="eastAsia" w:ascii="仿宋_GB2312" w:hAnsi="仿宋_GB2312" w:eastAsia="仿宋_GB2312" w:cs="仿宋_GB2312"/>
          <w:kern w:val="0"/>
          <w:sz w:val="32"/>
          <w:szCs w:val="32"/>
          <w:lang w:eastAsia="en-US"/>
        </w:rPr>
        <w:t>2</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公安（款）</w:t>
      </w:r>
      <w:r>
        <w:rPr>
          <w:rFonts w:hint="eastAsia" w:ascii="仿宋_GB2312" w:hAnsi="仿宋_GB2312" w:eastAsia="仿宋_GB2312" w:cs="仿宋_GB2312"/>
          <w:kern w:val="2"/>
          <w:sz w:val="32"/>
          <w:szCs w:val="32"/>
          <w:lang w:val="en-US" w:eastAsia="zh-CN" w:bidi="ar-SA"/>
        </w:rPr>
        <w:t>一般行政管理事务（项）。</w:t>
      </w:r>
      <w:r>
        <w:rPr>
          <w:rFonts w:hint="eastAsia" w:ascii="仿宋_GB2312" w:hAnsi="仿宋_GB2312" w:eastAsia="仿宋_GB2312" w:cs="仿宋_GB2312"/>
          <w:kern w:val="0"/>
          <w:sz w:val="32"/>
          <w:szCs w:val="32"/>
        </w:rPr>
        <w:t>年初预算</w:t>
      </w:r>
      <w:r>
        <w:rPr>
          <w:rFonts w:hint="eastAsia" w:ascii="仿宋_GB2312" w:hAnsi="仿宋_GB2312" w:eastAsia="仿宋_GB2312" w:cs="仿宋_GB2312"/>
          <w:kern w:val="0"/>
          <w:sz w:val="32"/>
          <w:szCs w:val="32"/>
          <w:u w:val="none"/>
          <w:lang w:val="en-US" w:eastAsia="zh-CN"/>
        </w:rPr>
        <w:t>42.00</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none"/>
          <w:lang w:val="en-US" w:eastAsia="zh-CN"/>
        </w:rPr>
        <w:t>87.00</w:t>
      </w:r>
      <w:r>
        <w:rPr>
          <w:rFonts w:hint="eastAsia" w:ascii="仿宋_GB2312" w:hAnsi="仿宋_GB2312" w:eastAsia="仿宋_GB2312" w:cs="仿宋_GB2312"/>
          <w:kern w:val="0"/>
          <w:sz w:val="32"/>
          <w:szCs w:val="32"/>
        </w:rPr>
        <w:t>万元，完成年初预算的</w:t>
      </w:r>
      <w:r>
        <w:rPr>
          <w:rFonts w:hint="eastAsia" w:ascii="仿宋_GB2312" w:hAnsi="仿宋_GB2312" w:eastAsia="仿宋_GB2312" w:cs="仿宋_GB2312"/>
          <w:kern w:val="0"/>
          <w:sz w:val="32"/>
          <w:szCs w:val="32"/>
          <w:u w:val="none"/>
          <w:lang w:val="en-US" w:eastAsia="zh-CN"/>
        </w:rPr>
        <w:t>207.14</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。决算数与年初预算数的差异原因：</w:t>
      </w:r>
      <w:r>
        <w:rPr>
          <w:rFonts w:hint="eastAsia" w:ascii="仿宋_GB2312" w:hAnsi="仿宋_GB2312" w:eastAsia="仿宋_GB2312" w:cs="仿宋_GB2312"/>
          <w:kern w:val="2"/>
          <w:sz w:val="32"/>
          <w:szCs w:val="32"/>
          <w:lang w:val="en-US" w:eastAsia="zh-CN" w:bidi="ar-SA"/>
        </w:rPr>
        <w:t>年中追加了项目经费45.00万元。</w:t>
      </w:r>
    </w:p>
    <w:p w14:paraId="67ECF5FE">
      <w:pPr>
        <w:pStyle w:val="29"/>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auto"/>
        <w:rPr>
          <w:rFonts w:ascii="Times New Roman" w:hAnsi="Times New Roman" w:eastAsia="Times New Roman" w:cs="Times New Roman"/>
          <w:kern w:val="0"/>
          <w:sz w:val="24"/>
        </w:rPr>
      </w:pPr>
      <w:r>
        <w:rPr>
          <w:rFonts w:hint="eastAsia" w:ascii="楷体_GB2312" w:hAnsi="楷体_GB2312" w:eastAsia="楷体_GB2312" w:cs="楷体_GB2312"/>
          <w:b/>
          <w:bCs/>
          <w:kern w:val="0"/>
          <w:sz w:val="32"/>
          <w:szCs w:val="32"/>
        </w:rPr>
        <w:t>（</w:t>
      </w:r>
      <w:r>
        <w:rPr>
          <w:rFonts w:hint="eastAsia" w:ascii="楷体_GB2312" w:hAnsi="楷体_GB2312" w:eastAsia="楷体_GB2312" w:cs="楷体_GB2312"/>
          <w:b/>
          <w:bCs/>
          <w:kern w:val="0"/>
          <w:sz w:val="32"/>
          <w:szCs w:val="32"/>
          <w:lang w:val="en-US" w:eastAsia="zh-CN"/>
        </w:rPr>
        <w:t>二</w:t>
      </w:r>
      <w:r>
        <w:rPr>
          <w:rFonts w:hint="eastAsia" w:ascii="楷体_GB2312" w:hAnsi="楷体_GB2312" w:eastAsia="楷体_GB2312" w:cs="楷体_GB2312"/>
          <w:b/>
          <w:bCs/>
          <w:kern w:val="0"/>
          <w:sz w:val="32"/>
          <w:szCs w:val="32"/>
        </w:rPr>
        <w:t>）社会保障和就业支出（类）</w:t>
      </w:r>
    </w:p>
    <w:p w14:paraId="150FBC2B">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社会保障和就业支出（类）决算数为</w:t>
      </w:r>
      <w:r>
        <w:rPr>
          <w:rFonts w:hint="eastAsia" w:ascii="仿宋_GB2312" w:hAnsi="仿宋_GB2312" w:eastAsia="仿宋_GB2312" w:cs="仿宋_GB2312"/>
          <w:kern w:val="0"/>
          <w:sz w:val="32"/>
          <w:szCs w:val="32"/>
          <w:u w:val="none"/>
          <w:lang w:eastAsia="en-US"/>
        </w:rPr>
        <w:t>175.78</w:t>
      </w:r>
      <w:r>
        <w:rPr>
          <w:rFonts w:hint="eastAsia" w:ascii="仿宋_GB2312" w:hAnsi="仿宋_GB2312" w:eastAsia="仿宋_GB2312" w:cs="仿宋_GB2312"/>
          <w:kern w:val="0"/>
          <w:sz w:val="32"/>
          <w:szCs w:val="32"/>
        </w:rPr>
        <w:t>万元，与年初预算相比增加</w:t>
      </w:r>
      <w:r>
        <w:rPr>
          <w:rFonts w:hint="eastAsia" w:ascii="仿宋_GB2312" w:hAnsi="仿宋_GB2312" w:eastAsia="仿宋_GB2312" w:cs="仿宋_GB2312"/>
          <w:kern w:val="0"/>
          <w:sz w:val="32"/>
          <w:szCs w:val="32"/>
          <w:u w:val="none"/>
          <w:lang w:eastAsia="en-US"/>
        </w:rPr>
        <w:t>3.60</w:t>
      </w:r>
      <w:r>
        <w:rPr>
          <w:rFonts w:hint="eastAsia" w:ascii="仿宋_GB2312" w:hAnsi="仿宋_GB2312" w:eastAsia="仿宋_GB2312" w:cs="仿宋_GB2312"/>
          <w:kern w:val="0"/>
          <w:sz w:val="32"/>
          <w:szCs w:val="32"/>
        </w:rPr>
        <w:t>万元。其中：</w:t>
      </w:r>
    </w:p>
    <w:p w14:paraId="21F3C269">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en-US"/>
        </w:rPr>
        <w:t>1</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行政事业单位养老支出（款）行政单位离退休（项）。年初预算</w:t>
      </w:r>
      <w:r>
        <w:rPr>
          <w:rFonts w:hint="eastAsia" w:ascii="仿宋_GB2312" w:hAnsi="仿宋_GB2312" w:eastAsia="仿宋_GB2312" w:cs="仿宋_GB2312"/>
          <w:kern w:val="0"/>
          <w:sz w:val="32"/>
          <w:szCs w:val="32"/>
          <w:u w:val="none"/>
          <w:lang w:val="en-US" w:eastAsia="zh-CN"/>
        </w:rPr>
        <w:t>10.65</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none"/>
          <w:lang w:val="en-US" w:eastAsia="zh-CN"/>
        </w:rPr>
        <w:t>10.65</w:t>
      </w:r>
      <w:r>
        <w:rPr>
          <w:rFonts w:hint="eastAsia" w:ascii="仿宋_GB2312" w:hAnsi="仿宋_GB2312" w:eastAsia="仿宋_GB2312" w:cs="仿宋_GB2312"/>
          <w:kern w:val="0"/>
          <w:sz w:val="32"/>
          <w:szCs w:val="32"/>
        </w:rPr>
        <w:t>万元，完成年初预算的</w:t>
      </w:r>
      <w:r>
        <w:rPr>
          <w:rFonts w:hint="eastAsia" w:ascii="仿宋_GB2312" w:hAnsi="仿宋_GB2312" w:eastAsia="仿宋_GB2312" w:cs="仿宋_GB2312"/>
          <w:kern w:val="0"/>
          <w:sz w:val="32"/>
          <w:szCs w:val="32"/>
          <w:u w:val="none"/>
          <w:lang w:val="en-US" w:eastAsia="zh-CN"/>
        </w:rPr>
        <w:t>100.00</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。决算数与年初预算数的差异原因：</w:t>
      </w:r>
      <w:r>
        <w:rPr>
          <w:rFonts w:hint="eastAsia" w:eastAsia="仿宋_GB2312" w:cs="Times New Roman"/>
          <w:kern w:val="0"/>
          <w:sz w:val="32"/>
          <w:szCs w:val="32"/>
          <w:lang w:eastAsia="zh-CN"/>
        </w:rPr>
        <w:t>支出决算数与年初预算数无差异</w:t>
      </w:r>
      <w:r>
        <w:rPr>
          <w:rFonts w:hint="eastAsia" w:ascii="仿宋_GB2312" w:hAnsi="仿宋_GB2312" w:eastAsia="仿宋_GB2312" w:cs="仿宋_GB2312"/>
          <w:kern w:val="0"/>
          <w:sz w:val="32"/>
          <w:szCs w:val="32"/>
        </w:rPr>
        <w:t>。</w:t>
      </w:r>
    </w:p>
    <w:p w14:paraId="73747A40">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行政事业单位养老支出（款）机关事业单位基本养老保险缴费支出（项）。年初预算</w:t>
      </w:r>
      <w:r>
        <w:rPr>
          <w:rFonts w:hint="eastAsia" w:ascii="仿宋_GB2312" w:hAnsi="仿宋_GB2312" w:eastAsia="仿宋_GB2312" w:cs="仿宋_GB2312"/>
          <w:kern w:val="0"/>
          <w:sz w:val="32"/>
          <w:szCs w:val="32"/>
          <w:u w:val="none"/>
          <w:lang w:val="en-US" w:eastAsia="zh-CN"/>
        </w:rPr>
        <w:t>107.68</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none"/>
          <w:lang w:val="en-US" w:eastAsia="zh-CN"/>
        </w:rPr>
        <w:t>110.09</w:t>
      </w:r>
      <w:r>
        <w:rPr>
          <w:rFonts w:hint="eastAsia" w:ascii="仿宋_GB2312" w:hAnsi="仿宋_GB2312" w:eastAsia="仿宋_GB2312" w:cs="仿宋_GB2312"/>
          <w:kern w:val="0"/>
          <w:sz w:val="32"/>
          <w:szCs w:val="32"/>
        </w:rPr>
        <w:t>万元，完成年初预算的</w:t>
      </w:r>
      <w:r>
        <w:rPr>
          <w:rFonts w:hint="eastAsia" w:ascii="仿宋_GB2312" w:hAnsi="仿宋_GB2312" w:eastAsia="仿宋_GB2312" w:cs="仿宋_GB2312"/>
          <w:kern w:val="0"/>
          <w:sz w:val="32"/>
          <w:szCs w:val="32"/>
          <w:u w:val="none"/>
          <w:lang w:val="en-US" w:eastAsia="zh-CN"/>
        </w:rPr>
        <w:t>102.24</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。决算数与年初预算数的差异原因：</w:t>
      </w:r>
      <w:r>
        <w:rPr>
          <w:rFonts w:hint="eastAsia" w:ascii="仿宋_GB2312" w:hAnsi="仿宋_GB2312" w:eastAsia="仿宋_GB2312" w:cs="仿宋_GB2312"/>
          <w:kern w:val="2"/>
          <w:sz w:val="32"/>
          <w:szCs w:val="32"/>
          <w:lang w:val="en-US" w:eastAsia="zh-CN" w:bidi="ar-SA"/>
        </w:rPr>
        <w:t>因人员工资基数</w:t>
      </w:r>
      <w:r>
        <w:rPr>
          <w:rFonts w:hint="eastAsia" w:ascii="仿宋_GB2312" w:hAnsi="黑体" w:eastAsia="仿宋_GB2312" w:cs="Times New Roman"/>
          <w:kern w:val="2"/>
          <w:sz w:val="32"/>
          <w:szCs w:val="32"/>
          <w:lang w:val="en-US" w:eastAsia="zh-CN" w:bidi="ar-SA"/>
        </w:rPr>
        <w:t>上调，</w:t>
      </w:r>
      <w:r>
        <w:rPr>
          <w:rFonts w:hint="eastAsia" w:ascii="仿宋_GB2312" w:hAnsi="仿宋_GB2312" w:eastAsia="仿宋_GB2312" w:cs="仿宋_GB2312"/>
          <w:kern w:val="0"/>
          <w:sz w:val="32"/>
          <w:szCs w:val="32"/>
        </w:rPr>
        <w:t>基本养老保险缴费支出</w:t>
      </w:r>
      <w:r>
        <w:rPr>
          <w:rFonts w:hint="eastAsia" w:ascii="仿宋_GB2312" w:hAnsi="仿宋_GB2312" w:eastAsia="仿宋_GB2312" w:cs="仿宋_GB2312"/>
          <w:kern w:val="2"/>
          <w:sz w:val="32"/>
          <w:szCs w:val="32"/>
          <w:lang w:val="en-US" w:eastAsia="zh-CN" w:bidi="ar-SA"/>
        </w:rPr>
        <w:t>增加</w:t>
      </w:r>
      <w:r>
        <w:rPr>
          <w:rFonts w:hint="eastAsia" w:ascii="仿宋_GB2312" w:hAnsi="仿宋_GB2312" w:eastAsia="仿宋_GB2312" w:cs="仿宋_GB2312"/>
          <w:kern w:val="0"/>
          <w:sz w:val="32"/>
          <w:szCs w:val="32"/>
        </w:rPr>
        <w:t>。</w:t>
      </w:r>
    </w:p>
    <w:p w14:paraId="4DE35195">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Times New Roman" w:cs="Times New Roman"/>
          <w:kern w:val="0"/>
          <w:sz w:val="24"/>
        </w:rPr>
      </w:pP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行政事业单位养老支出（款）机关事业单位职业年金缴费支出（项）。年初预算</w:t>
      </w:r>
      <w:r>
        <w:rPr>
          <w:rFonts w:hint="eastAsia" w:ascii="仿宋_GB2312" w:hAnsi="仿宋_GB2312" w:eastAsia="仿宋_GB2312" w:cs="仿宋_GB2312"/>
          <w:kern w:val="0"/>
          <w:sz w:val="32"/>
          <w:szCs w:val="32"/>
          <w:u w:val="none"/>
          <w:lang w:val="en-US" w:eastAsia="zh-CN"/>
        </w:rPr>
        <w:t>53.84</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none"/>
          <w:lang w:val="en-US" w:eastAsia="zh-CN"/>
        </w:rPr>
        <w:t>55.04</w:t>
      </w:r>
      <w:r>
        <w:rPr>
          <w:rFonts w:hint="eastAsia" w:ascii="仿宋_GB2312" w:hAnsi="仿宋_GB2312" w:eastAsia="仿宋_GB2312" w:cs="仿宋_GB2312"/>
          <w:kern w:val="0"/>
          <w:sz w:val="32"/>
          <w:szCs w:val="32"/>
        </w:rPr>
        <w:t>万元，完成年初预算的</w:t>
      </w:r>
      <w:r>
        <w:rPr>
          <w:rFonts w:hint="eastAsia" w:ascii="仿宋_GB2312" w:hAnsi="仿宋_GB2312" w:eastAsia="仿宋_GB2312" w:cs="仿宋_GB2312"/>
          <w:kern w:val="0"/>
          <w:sz w:val="32"/>
          <w:szCs w:val="32"/>
          <w:u w:val="none"/>
          <w:lang w:val="en-US" w:eastAsia="zh-CN"/>
        </w:rPr>
        <w:t>102.23</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。决算数与年初预算数的差异原因：</w:t>
      </w:r>
      <w:r>
        <w:rPr>
          <w:rFonts w:hint="eastAsia" w:ascii="仿宋_GB2312" w:hAnsi="仿宋_GB2312" w:eastAsia="仿宋_GB2312" w:cs="仿宋_GB2312"/>
          <w:kern w:val="2"/>
          <w:sz w:val="32"/>
          <w:szCs w:val="32"/>
          <w:lang w:val="en-US" w:eastAsia="zh-CN" w:bidi="ar-SA"/>
        </w:rPr>
        <w:t>因人员工资基数</w:t>
      </w:r>
      <w:r>
        <w:rPr>
          <w:rFonts w:hint="eastAsia" w:ascii="仿宋_GB2312" w:hAnsi="黑体" w:eastAsia="仿宋_GB2312" w:cs="Times New Roman"/>
          <w:kern w:val="2"/>
          <w:sz w:val="32"/>
          <w:szCs w:val="32"/>
          <w:lang w:val="en-US" w:eastAsia="zh-CN" w:bidi="ar-SA"/>
        </w:rPr>
        <w:t>上调，</w:t>
      </w:r>
      <w:r>
        <w:rPr>
          <w:rFonts w:hint="eastAsia" w:ascii="仿宋_GB2312" w:hAnsi="仿宋_GB2312" w:eastAsia="仿宋_GB2312" w:cs="仿宋_GB2312"/>
          <w:kern w:val="0"/>
          <w:sz w:val="32"/>
          <w:szCs w:val="32"/>
        </w:rPr>
        <w:t>职业年金缴费支出</w:t>
      </w:r>
      <w:r>
        <w:rPr>
          <w:rFonts w:hint="eastAsia" w:ascii="仿宋_GB2312" w:hAnsi="仿宋_GB2312" w:eastAsia="仿宋_GB2312" w:cs="仿宋_GB2312"/>
          <w:kern w:val="2"/>
          <w:sz w:val="32"/>
          <w:szCs w:val="32"/>
          <w:lang w:val="en-US" w:eastAsia="zh-CN" w:bidi="ar-SA"/>
        </w:rPr>
        <w:t>增加</w:t>
      </w:r>
      <w:r>
        <w:rPr>
          <w:rFonts w:hint="eastAsia" w:ascii="仿宋_GB2312" w:hAnsi="仿宋_GB2312" w:eastAsia="仿宋_GB2312" w:cs="仿宋_GB2312"/>
          <w:kern w:val="0"/>
          <w:sz w:val="32"/>
          <w:szCs w:val="32"/>
        </w:rPr>
        <w:t>。</w:t>
      </w:r>
    </w:p>
    <w:p w14:paraId="2A5D2865">
      <w:pPr>
        <w:pStyle w:val="29"/>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auto"/>
        <w:rPr>
          <w:rFonts w:ascii="Times New Roman" w:hAnsi="Times New Roman" w:eastAsia="Times New Roman" w:cs="Times New Roman"/>
          <w:kern w:val="0"/>
          <w:sz w:val="24"/>
        </w:rPr>
      </w:pPr>
      <w:r>
        <w:rPr>
          <w:rFonts w:hint="eastAsia" w:ascii="楷体_GB2312" w:hAnsi="楷体_GB2312" w:eastAsia="楷体_GB2312" w:cs="楷体_GB2312"/>
          <w:b/>
          <w:bCs/>
          <w:kern w:val="0"/>
          <w:sz w:val="32"/>
          <w:szCs w:val="32"/>
        </w:rPr>
        <w:t>（</w:t>
      </w:r>
      <w:r>
        <w:rPr>
          <w:rFonts w:hint="eastAsia" w:ascii="楷体_GB2312" w:hAnsi="楷体_GB2312" w:eastAsia="楷体_GB2312" w:cs="楷体_GB2312"/>
          <w:b/>
          <w:bCs/>
          <w:kern w:val="0"/>
          <w:sz w:val="32"/>
          <w:szCs w:val="32"/>
          <w:lang w:eastAsia="zh-CN"/>
        </w:rPr>
        <w:t>三</w:t>
      </w:r>
      <w:r>
        <w:rPr>
          <w:rFonts w:hint="eastAsia" w:ascii="楷体_GB2312" w:hAnsi="楷体_GB2312" w:eastAsia="楷体_GB2312" w:cs="楷体_GB2312"/>
          <w:b/>
          <w:bCs/>
          <w:kern w:val="0"/>
          <w:sz w:val="32"/>
          <w:szCs w:val="32"/>
        </w:rPr>
        <w:t>）卫生健康支出（类）</w:t>
      </w:r>
    </w:p>
    <w:p w14:paraId="7A3CE1FB">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卫生健康支出（类）决算数为</w:t>
      </w:r>
      <w:r>
        <w:rPr>
          <w:rFonts w:hint="eastAsia" w:ascii="仿宋_GB2312" w:hAnsi="仿宋_GB2312" w:eastAsia="仿宋_GB2312" w:cs="仿宋_GB2312"/>
          <w:kern w:val="0"/>
          <w:sz w:val="32"/>
          <w:szCs w:val="32"/>
          <w:u w:val="none"/>
          <w:lang w:eastAsia="en-US"/>
        </w:rPr>
        <w:t>123.77</w:t>
      </w:r>
      <w:r>
        <w:rPr>
          <w:rFonts w:hint="eastAsia" w:ascii="仿宋_GB2312" w:hAnsi="仿宋_GB2312" w:eastAsia="仿宋_GB2312" w:cs="仿宋_GB2312"/>
          <w:kern w:val="0"/>
          <w:sz w:val="32"/>
          <w:szCs w:val="32"/>
        </w:rPr>
        <w:t>万元，与年初预算相比增加</w:t>
      </w:r>
      <w:r>
        <w:rPr>
          <w:rFonts w:hint="eastAsia" w:ascii="仿宋_GB2312" w:hAnsi="仿宋_GB2312" w:eastAsia="仿宋_GB2312" w:cs="仿宋_GB2312"/>
          <w:kern w:val="0"/>
          <w:sz w:val="32"/>
          <w:szCs w:val="32"/>
          <w:u w:val="none"/>
          <w:lang w:eastAsia="en-US"/>
        </w:rPr>
        <w:t>18.91</w:t>
      </w:r>
      <w:r>
        <w:rPr>
          <w:rFonts w:hint="eastAsia" w:ascii="仿宋_GB2312" w:hAnsi="仿宋_GB2312" w:eastAsia="仿宋_GB2312" w:cs="仿宋_GB2312"/>
          <w:kern w:val="0"/>
          <w:sz w:val="32"/>
          <w:szCs w:val="32"/>
        </w:rPr>
        <w:t>万元。其中：</w:t>
      </w:r>
    </w:p>
    <w:p w14:paraId="72BE25D2">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en-US"/>
        </w:rPr>
        <w:t>1</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行政事业单位医疗（款）行政单位医疗（项）。年初预算</w:t>
      </w:r>
      <w:r>
        <w:rPr>
          <w:rFonts w:hint="eastAsia" w:ascii="仿宋_GB2312" w:hAnsi="仿宋_GB2312" w:eastAsia="仿宋_GB2312" w:cs="仿宋_GB2312"/>
          <w:kern w:val="0"/>
          <w:sz w:val="32"/>
          <w:szCs w:val="32"/>
          <w:u w:val="none"/>
          <w:lang w:val="en-US" w:eastAsia="zh-CN"/>
        </w:rPr>
        <w:t>65.29</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none"/>
          <w:lang w:val="en-US" w:eastAsia="zh-CN"/>
        </w:rPr>
        <w:t>88.37</w:t>
      </w:r>
      <w:r>
        <w:rPr>
          <w:rFonts w:hint="eastAsia" w:ascii="仿宋_GB2312" w:hAnsi="仿宋_GB2312" w:eastAsia="仿宋_GB2312" w:cs="仿宋_GB2312"/>
          <w:kern w:val="0"/>
          <w:sz w:val="32"/>
          <w:szCs w:val="32"/>
        </w:rPr>
        <w:t>万元，完成年初预算的</w:t>
      </w:r>
      <w:r>
        <w:rPr>
          <w:rFonts w:hint="eastAsia" w:ascii="仿宋_GB2312" w:hAnsi="仿宋_GB2312" w:eastAsia="仿宋_GB2312" w:cs="仿宋_GB2312"/>
          <w:kern w:val="0"/>
          <w:sz w:val="32"/>
          <w:szCs w:val="32"/>
          <w:u w:val="none"/>
          <w:lang w:val="en-US" w:eastAsia="zh-CN"/>
        </w:rPr>
        <w:t>135.35</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。决算数与年初预算数的差异原因：</w:t>
      </w:r>
      <w:r>
        <w:rPr>
          <w:rFonts w:hint="eastAsia" w:ascii="仿宋_GB2312" w:hAnsi="仿宋_GB2312" w:eastAsia="仿宋_GB2312" w:cs="仿宋_GB2312"/>
          <w:kern w:val="2"/>
          <w:sz w:val="32"/>
          <w:szCs w:val="32"/>
          <w:lang w:val="en-US" w:eastAsia="zh-CN" w:bidi="ar-SA"/>
        </w:rPr>
        <w:t>因人员工资基数</w:t>
      </w:r>
      <w:r>
        <w:rPr>
          <w:rFonts w:hint="eastAsia" w:ascii="仿宋_GB2312" w:hAnsi="黑体" w:eastAsia="仿宋_GB2312" w:cs="Times New Roman"/>
          <w:kern w:val="2"/>
          <w:sz w:val="32"/>
          <w:szCs w:val="32"/>
          <w:lang w:val="en-US" w:eastAsia="zh-CN" w:bidi="ar-SA"/>
        </w:rPr>
        <w:t>上调，</w:t>
      </w:r>
      <w:r>
        <w:rPr>
          <w:rFonts w:hint="eastAsia" w:ascii="仿宋_GB2312" w:hAnsi="仿宋_GB2312" w:eastAsia="仿宋_GB2312" w:cs="仿宋_GB2312"/>
          <w:kern w:val="0"/>
          <w:sz w:val="32"/>
          <w:szCs w:val="32"/>
          <w:lang w:val="en-US" w:eastAsia="zh-CN"/>
        </w:rPr>
        <w:t>医疗保险缴费</w:t>
      </w:r>
      <w:r>
        <w:rPr>
          <w:rFonts w:hint="eastAsia" w:ascii="仿宋_GB2312" w:hAnsi="仿宋_GB2312" w:eastAsia="仿宋_GB2312" w:cs="仿宋_GB2312"/>
          <w:kern w:val="0"/>
          <w:sz w:val="32"/>
          <w:szCs w:val="32"/>
        </w:rPr>
        <w:t>支出</w:t>
      </w:r>
      <w:r>
        <w:rPr>
          <w:rFonts w:hint="eastAsia" w:ascii="仿宋_GB2312" w:hAnsi="仿宋_GB2312" w:eastAsia="仿宋_GB2312" w:cs="仿宋_GB2312"/>
          <w:kern w:val="2"/>
          <w:sz w:val="32"/>
          <w:szCs w:val="32"/>
          <w:lang w:val="en-US" w:eastAsia="zh-CN" w:bidi="ar-SA"/>
        </w:rPr>
        <w:t>增加</w:t>
      </w:r>
      <w:r>
        <w:rPr>
          <w:rFonts w:hint="eastAsia" w:ascii="仿宋_GB2312" w:hAnsi="仿宋_GB2312" w:eastAsia="仿宋_GB2312" w:cs="仿宋_GB2312"/>
          <w:kern w:val="0"/>
          <w:sz w:val="32"/>
          <w:szCs w:val="32"/>
        </w:rPr>
        <w:t>。</w:t>
      </w:r>
    </w:p>
    <w:p w14:paraId="33BA2821">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Times New Roman" w:cs="Times New Roman"/>
          <w:kern w:val="0"/>
          <w:sz w:val="24"/>
        </w:rPr>
      </w:pP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行政事业单位医疗（款）公务员医疗补助（项）。年初预算</w:t>
      </w:r>
      <w:r>
        <w:rPr>
          <w:rFonts w:hint="eastAsia" w:ascii="仿宋_GB2312" w:hAnsi="仿宋_GB2312" w:eastAsia="仿宋_GB2312" w:cs="仿宋_GB2312"/>
          <w:kern w:val="0"/>
          <w:sz w:val="32"/>
          <w:szCs w:val="32"/>
          <w:u w:val="none"/>
          <w:lang w:val="en-US" w:eastAsia="zh-CN"/>
        </w:rPr>
        <w:t>39.57</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none"/>
          <w:lang w:val="en-US" w:eastAsia="zh-CN"/>
        </w:rPr>
        <w:t>35.40</w:t>
      </w:r>
      <w:r>
        <w:rPr>
          <w:rFonts w:hint="eastAsia" w:ascii="仿宋_GB2312" w:hAnsi="仿宋_GB2312" w:eastAsia="仿宋_GB2312" w:cs="仿宋_GB2312"/>
          <w:kern w:val="0"/>
          <w:sz w:val="32"/>
          <w:szCs w:val="32"/>
        </w:rPr>
        <w:t>万元，完成年初预算的</w:t>
      </w:r>
      <w:r>
        <w:rPr>
          <w:rFonts w:hint="eastAsia" w:ascii="仿宋_GB2312" w:hAnsi="仿宋_GB2312" w:eastAsia="仿宋_GB2312" w:cs="仿宋_GB2312"/>
          <w:kern w:val="0"/>
          <w:sz w:val="32"/>
          <w:szCs w:val="32"/>
          <w:u w:val="none"/>
          <w:lang w:val="en-US" w:eastAsia="zh-CN"/>
        </w:rPr>
        <w:t>89.46</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。决算数与年初预算数的差异原因：</w:t>
      </w:r>
      <w:r>
        <w:rPr>
          <w:rFonts w:hint="eastAsia" w:ascii="仿宋_GB2312" w:hAnsi="黑体" w:eastAsia="仿宋_GB2312" w:cs="Times New Roman"/>
          <w:kern w:val="2"/>
          <w:sz w:val="32"/>
          <w:szCs w:val="32"/>
          <w:lang w:val="en-US" w:eastAsia="zh-CN" w:bidi="ar-SA"/>
        </w:rPr>
        <w:t>因人员变动致使公务员医疗补助缴费较年初有所减少</w:t>
      </w:r>
      <w:r>
        <w:rPr>
          <w:rFonts w:hint="eastAsia" w:ascii="仿宋_GB2312" w:hAnsi="仿宋_GB2312" w:eastAsia="仿宋_GB2312" w:cs="仿宋_GB2312"/>
          <w:kern w:val="0"/>
          <w:sz w:val="32"/>
          <w:szCs w:val="32"/>
        </w:rPr>
        <w:t>。</w:t>
      </w:r>
    </w:p>
    <w:p w14:paraId="15638335">
      <w:pPr>
        <w:pStyle w:val="29"/>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auto"/>
        <w:rPr>
          <w:rFonts w:ascii="Times New Roman" w:hAnsi="Times New Roman" w:eastAsia="Times New Roman" w:cs="Times New Roman"/>
          <w:kern w:val="0"/>
          <w:sz w:val="24"/>
        </w:rPr>
      </w:pPr>
      <w:r>
        <w:rPr>
          <w:rFonts w:ascii="楷体" w:hAnsi="楷体" w:eastAsia="楷体" w:cs="楷体"/>
          <w:b/>
          <w:bCs/>
          <w:kern w:val="0"/>
          <w:sz w:val="32"/>
          <w:szCs w:val="32"/>
        </w:rPr>
        <w:t>（</w:t>
      </w:r>
      <w:r>
        <w:rPr>
          <w:rFonts w:hint="eastAsia" w:ascii="楷体" w:hAnsi="楷体" w:eastAsia="楷体" w:cs="楷体"/>
          <w:b/>
          <w:bCs/>
          <w:kern w:val="0"/>
          <w:sz w:val="32"/>
          <w:szCs w:val="32"/>
          <w:lang w:val="en-US" w:eastAsia="zh-CN"/>
        </w:rPr>
        <w:t>四</w:t>
      </w:r>
      <w:r>
        <w:rPr>
          <w:rFonts w:ascii="楷体" w:hAnsi="楷体" w:eastAsia="楷体" w:cs="楷体"/>
          <w:b/>
          <w:bCs/>
          <w:kern w:val="0"/>
          <w:sz w:val="32"/>
          <w:szCs w:val="32"/>
        </w:rPr>
        <w:t>）住房保障支出（类）</w:t>
      </w:r>
    </w:p>
    <w:p w14:paraId="0046C775">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住房保障支出（类）决算数为</w:t>
      </w:r>
      <w:r>
        <w:rPr>
          <w:rFonts w:hint="eastAsia" w:ascii="仿宋_GB2312" w:hAnsi="仿宋_GB2312" w:eastAsia="仿宋_GB2312" w:cs="仿宋_GB2312"/>
          <w:kern w:val="0"/>
          <w:sz w:val="32"/>
          <w:szCs w:val="32"/>
          <w:u w:val="none"/>
          <w:lang w:eastAsia="en-US"/>
        </w:rPr>
        <w:t>139.72</w:t>
      </w:r>
      <w:r>
        <w:rPr>
          <w:rFonts w:hint="eastAsia" w:ascii="仿宋_GB2312" w:hAnsi="仿宋_GB2312" w:eastAsia="仿宋_GB2312" w:cs="仿宋_GB2312"/>
          <w:kern w:val="0"/>
          <w:sz w:val="32"/>
          <w:szCs w:val="32"/>
        </w:rPr>
        <w:t>万元，与年初预算相比增加</w:t>
      </w:r>
      <w:r>
        <w:rPr>
          <w:rFonts w:hint="eastAsia" w:ascii="仿宋_GB2312" w:hAnsi="仿宋_GB2312" w:eastAsia="仿宋_GB2312" w:cs="仿宋_GB2312"/>
          <w:kern w:val="0"/>
          <w:sz w:val="32"/>
          <w:szCs w:val="32"/>
          <w:u w:val="none"/>
          <w:lang w:eastAsia="en-US"/>
        </w:rPr>
        <w:t> 2.70</w:t>
      </w:r>
      <w:r>
        <w:rPr>
          <w:rFonts w:hint="eastAsia" w:ascii="仿宋_GB2312" w:hAnsi="仿宋_GB2312" w:eastAsia="仿宋_GB2312" w:cs="仿宋_GB2312"/>
          <w:kern w:val="0"/>
          <w:sz w:val="32"/>
          <w:szCs w:val="32"/>
        </w:rPr>
        <w:t>万元。其中：</w:t>
      </w:r>
    </w:p>
    <w:p w14:paraId="574525EF">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住房改革支出（款）住房公积金（项）。年初预算</w:t>
      </w:r>
      <w:r>
        <w:rPr>
          <w:rFonts w:hint="eastAsia" w:ascii="仿宋_GB2312" w:hAnsi="仿宋_GB2312" w:eastAsia="仿宋_GB2312" w:cs="仿宋_GB2312"/>
          <w:kern w:val="0"/>
          <w:sz w:val="32"/>
          <w:szCs w:val="32"/>
          <w:u w:val="none"/>
          <w:lang w:val="en-US" w:eastAsia="zh-CN"/>
        </w:rPr>
        <w:t>137.02</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none"/>
          <w:lang w:eastAsia="en-US"/>
        </w:rPr>
        <w:t>139.72</w:t>
      </w:r>
      <w:r>
        <w:rPr>
          <w:rFonts w:hint="eastAsia" w:ascii="仿宋_GB2312" w:hAnsi="仿宋_GB2312" w:eastAsia="仿宋_GB2312" w:cs="仿宋_GB2312"/>
          <w:kern w:val="0"/>
          <w:sz w:val="32"/>
          <w:szCs w:val="32"/>
        </w:rPr>
        <w:t>万元，完成年初预算的</w:t>
      </w:r>
      <w:r>
        <w:rPr>
          <w:rFonts w:hint="eastAsia" w:ascii="仿宋_GB2312" w:hAnsi="仿宋_GB2312" w:eastAsia="仿宋_GB2312" w:cs="仿宋_GB2312"/>
          <w:kern w:val="0"/>
          <w:sz w:val="32"/>
          <w:szCs w:val="32"/>
          <w:u w:val="none"/>
          <w:lang w:val="en-US" w:eastAsia="zh-CN"/>
        </w:rPr>
        <w:t>101.97</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。决算数与年初预算数的差异原因：</w:t>
      </w:r>
      <w:r>
        <w:rPr>
          <w:rFonts w:hint="eastAsia" w:ascii="仿宋_GB2312" w:hAnsi="仿宋_GB2312" w:eastAsia="仿宋_GB2312" w:cs="仿宋_GB2312"/>
          <w:kern w:val="2"/>
          <w:sz w:val="32"/>
          <w:szCs w:val="32"/>
          <w:lang w:val="en-US" w:eastAsia="zh-CN" w:bidi="ar-SA"/>
        </w:rPr>
        <w:t>因人员工资基数</w:t>
      </w:r>
      <w:r>
        <w:rPr>
          <w:rFonts w:hint="eastAsia" w:ascii="仿宋_GB2312" w:hAnsi="黑体" w:eastAsia="仿宋_GB2312" w:cs="Times New Roman"/>
          <w:kern w:val="2"/>
          <w:sz w:val="32"/>
          <w:szCs w:val="32"/>
          <w:lang w:val="en-US" w:eastAsia="zh-CN" w:bidi="ar-SA"/>
        </w:rPr>
        <w:t>上调，</w:t>
      </w:r>
      <w:r>
        <w:rPr>
          <w:rFonts w:hint="eastAsia" w:ascii="仿宋_GB2312" w:hAnsi="仿宋_GB2312" w:eastAsia="仿宋_GB2312" w:cs="仿宋_GB2312"/>
          <w:kern w:val="0"/>
          <w:sz w:val="32"/>
          <w:szCs w:val="32"/>
        </w:rPr>
        <w:t>住房公积金支出</w:t>
      </w:r>
      <w:r>
        <w:rPr>
          <w:rFonts w:hint="eastAsia" w:ascii="仿宋_GB2312" w:hAnsi="仿宋_GB2312" w:eastAsia="仿宋_GB2312" w:cs="仿宋_GB2312"/>
          <w:kern w:val="2"/>
          <w:sz w:val="32"/>
          <w:szCs w:val="32"/>
          <w:lang w:val="en-US" w:eastAsia="zh-CN" w:bidi="ar-SA"/>
        </w:rPr>
        <w:t>增加</w:t>
      </w:r>
      <w:r>
        <w:rPr>
          <w:rFonts w:hint="eastAsia" w:ascii="仿宋_GB2312" w:hAnsi="仿宋_GB2312" w:eastAsia="仿宋_GB2312" w:cs="仿宋_GB2312"/>
          <w:kern w:val="0"/>
          <w:sz w:val="32"/>
          <w:szCs w:val="32"/>
        </w:rPr>
        <w:t>。</w:t>
      </w:r>
    </w:p>
    <w:p w14:paraId="3E1C85B5">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Times New Roman" w:cs="Times New Roman"/>
          <w:kern w:val="0"/>
          <w:sz w:val="24"/>
        </w:rPr>
      </w:pPr>
      <w:r>
        <w:rPr>
          <w:rFonts w:ascii="黑体" w:hAnsi="黑体" w:eastAsia="黑体" w:cs="黑体"/>
          <w:b w:val="0"/>
          <w:bCs w:val="0"/>
          <w:kern w:val="0"/>
          <w:sz w:val="32"/>
          <w:szCs w:val="32"/>
        </w:rPr>
        <w:t>六、一般公共预算财政拨款基本支出决算情况说明</w:t>
      </w:r>
    </w:p>
    <w:p w14:paraId="5FF15085">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Times New Roman" w:cs="Times New Roman"/>
          <w:kern w:val="0"/>
          <w:sz w:val="24"/>
        </w:rPr>
      </w:pPr>
      <w:r>
        <w:rPr>
          <w:rFonts w:hint="eastAsia" w:ascii="仿宋_GB2312" w:hAnsi="仿宋_GB2312" w:eastAsia="仿宋_GB2312" w:cs="仿宋_GB2312"/>
          <w:kern w:val="0"/>
          <w:sz w:val="32"/>
          <w:szCs w:val="32"/>
        </w:rPr>
        <w:t>内蒙古大兴安岭森林公安局北部原始林区分局</w:t>
      </w:r>
      <w:r>
        <w:rPr>
          <w:rFonts w:hint="eastAsia" w:ascii="仿宋_GB2312" w:hAnsi="仿宋_GB2312" w:eastAsia="仿宋_GB2312" w:cs="仿宋_GB2312"/>
          <w:kern w:val="0"/>
          <w:sz w:val="32"/>
          <w:szCs w:val="32"/>
          <w:lang w:eastAsia="en-US"/>
        </w:rPr>
        <w:t>2025</w:t>
      </w:r>
      <w:r>
        <w:rPr>
          <w:rFonts w:hint="eastAsia" w:ascii="仿宋_GB2312" w:hAnsi="仿宋_GB2312" w:eastAsia="仿宋_GB2312" w:cs="仿宋_GB2312"/>
          <w:kern w:val="0"/>
          <w:sz w:val="32"/>
          <w:szCs w:val="32"/>
        </w:rPr>
        <w:t>年度一般公共预算财政拨款基本支出决算</w:t>
      </w:r>
      <w:r>
        <w:rPr>
          <w:rFonts w:hint="eastAsia" w:ascii="仿宋_GB2312" w:hAnsi="仿宋_GB2312" w:eastAsia="仿宋_GB2312" w:cs="仿宋_GB2312"/>
          <w:kern w:val="0"/>
          <w:sz w:val="32"/>
          <w:szCs w:val="32"/>
          <w:u w:val="none"/>
          <w:lang w:eastAsia="en-US"/>
        </w:rPr>
        <w:t>1784.72</w:t>
      </w:r>
      <w:r>
        <w:rPr>
          <w:rFonts w:hint="eastAsia" w:ascii="仿宋_GB2312" w:hAnsi="仿宋_GB2312" w:eastAsia="仿宋_GB2312" w:cs="仿宋_GB2312"/>
          <w:kern w:val="0"/>
          <w:sz w:val="32"/>
          <w:szCs w:val="32"/>
        </w:rPr>
        <w:t>万元，其中：</w:t>
      </w:r>
    </w:p>
    <w:p w14:paraId="5CF5804D">
      <w:pPr>
        <w:pStyle w:val="29"/>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auto"/>
        <w:rPr>
          <w:rFonts w:ascii="Times New Roman" w:hAnsi="Times New Roman" w:eastAsia="Times New Roman" w:cs="Times New Roman"/>
          <w:kern w:val="0"/>
          <w:sz w:val="24"/>
        </w:rPr>
      </w:pPr>
      <w:r>
        <w:rPr>
          <w:rFonts w:hint="eastAsia" w:ascii="楷体_GB2312" w:hAnsi="楷体_GB2312" w:eastAsia="楷体_GB2312" w:cs="楷体_GB2312"/>
          <w:b/>
          <w:bCs/>
          <w:kern w:val="0"/>
          <w:sz w:val="32"/>
          <w:szCs w:val="32"/>
        </w:rPr>
        <w:t>（一）人员经费</w:t>
      </w:r>
      <w:r>
        <w:rPr>
          <w:rFonts w:hint="eastAsia" w:ascii="楷体_GB2312" w:hAnsi="楷体_GB2312" w:eastAsia="楷体_GB2312" w:cs="楷体_GB2312"/>
          <w:kern w:val="0"/>
          <w:sz w:val="32"/>
          <w:szCs w:val="32"/>
          <w:u w:val="none"/>
          <w:lang w:eastAsia="en-US"/>
        </w:rPr>
        <w:t>1546.74</w:t>
      </w:r>
      <w:r>
        <w:rPr>
          <w:rFonts w:hint="eastAsia" w:ascii="楷体_GB2312" w:hAnsi="楷体_GB2312" w:eastAsia="楷体_GB2312" w:cs="楷体_GB2312"/>
          <w:b/>
          <w:bCs/>
          <w:kern w:val="0"/>
          <w:sz w:val="32"/>
          <w:szCs w:val="32"/>
        </w:rPr>
        <w:t>万元。</w:t>
      </w:r>
      <w:r>
        <w:rPr>
          <w:rFonts w:hint="eastAsia" w:ascii="仿宋_GB2312" w:hAnsi="仿宋_GB2312" w:eastAsia="仿宋_GB2312" w:cs="仿宋_GB2312"/>
          <w:kern w:val="0"/>
          <w:sz w:val="32"/>
          <w:szCs w:val="32"/>
        </w:rPr>
        <w:t>主要包括：基本工资</w:t>
      </w:r>
      <w:r>
        <w:rPr>
          <w:rFonts w:hint="eastAsia" w:ascii="仿宋_GB2312" w:hAnsi="仿宋_GB2312" w:eastAsia="仿宋_GB2312" w:cs="仿宋_GB2312"/>
          <w:kern w:val="0"/>
          <w:sz w:val="32"/>
          <w:szCs w:val="32"/>
          <w:lang w:val="en-US" w:eastAsia="zh-CN"/>
        </w:rPr>
        <w:t>333.24万元</w:t>
      </w:r>
      <w:r>
        <w:rPr>
          <w:rFonts w:hint="eastAsia" w:ascii="仿宋_GB2312" w:hAnsi="仿宋_GB2312" w:eastAsia="仿宋_GB2312" w:cs="仿宋_GB2312"/>
          <w:kern w:val="0"/>
          <w:sz w:val="32"/>
          <w:szCs w:val="32"/>
        </w:rPr>
        <w:t>、津贴补贴</w:t>
      </w:r>
      <w:r>
        <w:rPr>
          <w:rFonts w:hint="eastAsia" w:ascii="仿宋_GB2312" w:hAnsi="仿宋_GB2312" w:eastAsia="仿宋_GB2312" w:cs="仿宋_GB2312"/>
          <w:kern w:val="0"/>
          <w:sz w:val="32"/>
          <w:szCs w:val="32"/>
          <w:lang w:val="en-US" w:eastAsia="zh-CN"/>
        </w:rPr>
        <w:t>627.61万元</w:t>
      </w:r>
      <w:r>
        <w:rPr>
          <w:rFonts w:hint="eastAsia" w:ascii="仿宋_GB2312" w:hAnsi="仿宋_GB2312" w:eastAsia="仿宋_GB2312" w:cs="仿宋_GB2312"/>
          <w:kern w:val="0"/>
          <w:sz w:val="32"/>
          <w:szCs w:val="32"/>
        </w:rPr>
        <w:t>、奖金</w:t>
      </w:r>
      <w:r>
        <w:rPr>
          <w:rFonts w:hint="eastAsia" w:ascii="仿宋_GB2312" w:hAnsi="仿宋_GB2312" w:eastAsia="仿宋_GB2312" w:cs="仿宋_GB2312"/>
          <w:kern w:val="0"/>
          <w:sz w:val="32"/>
          <w:szCs w:val="32"/>
          <w:lang w:val="en-US" w:eastAsia="zh-CN"/>
        </w:rPr>
        <w:t>86.61万元</w:t>
      </w:r>
      <w:r>
        <w:rPr>
          <w:rFonts w:hint="eastAsia" w:ascii="仿宋_GB2312" w:hAnsi="仿宋_GB2312" w:eastAsia="仿宋_GB2312" w:cs="仿宋_GB2312"/>
          <w:kern w:val="0"/>
          <w:sz w:val="32"/>
          <w:szCs w:val="32"/>
        </w:rPr>
        <w:t>、机关事业单位基本养老保险缴费</w:t>
      </w:r>
      <w:r>
        <w:rPr>
          <w:rFonts w:hint="eastAsia" w:ascii="仿宋_GB2312" w:hAnsi="仿宋_GB2312" w:eastAsia="仿宋_GB2312" w:cs="仿宋_GB2312"/>
          <w:kern w:val="0"/>
          <w:sz w:val="32"/>
          <w:szCs w:val="32"/>
          <w:lang w:val="en-US" w:eastAsia="zh-CN"/>
        </w:rPr>
        <w:t>110.09万元</w:t>
      </w:r>
      <w:r>
        <w:rPr>
          <w:rFonts w:hint="eastAsia" w:ascii="仿宋_GB2312" w:hAnsi="仿宋_GB2312" w:eastAsia="仿宋_GB2312" w:cs="仿宋_GB2312"/>
          <w:kern w:val="0"/>
          <w:sz w:val="32"/>
          <w:szCs w:val="32"/>
        </w:rPr>
        <w:t>、职业年金缴费</w:t>
      </w:r>
      <w:r>
        <w:rPr>
          <w:rFonts w:hint="eastAsia" w:ascii="仿宋_GB2312" w:hAnsi="仿宋_GB2312" w:eastAsia="仿宋_GB2312" w:cs="仿宋_GB2312"/>
          <w:kern w:val="0"/>
          <w:sz w:val="32"/>
          <w:szCs w:val="32"/>
          <w:lang w:val="en-US" w:eastAsia="zh-CN"/>
        </w:rPr>
        <w:t>55.04万元</w:t>
      </w:r>
      <w:r>
        <w:rPr>
          <w:rFonts w:hint="eastAsia" w:ascii="仿宋_GB2312" w:hAnsi="仿宋_GB2312" w:eastAsia="仿宋_GB2312" w:cs="仿宋_GB2312"/>
          <w:kern w:val="0"/>
          <w:sz w:val="32"/>
          <w:szCs w:val="32"/>
        </w:rPr>
        <w:t>、职工基本医疗保险缴费</w:t>
      </w:r>
      <w:r>
        <w:rPr>
          <w:rFonts w:hint="eastAsia" w:ascii="仿宋_GB2312" w:hAnsi="仿宋_GB2312" w:eastAsia="仿宋_GB2312" w:cs="仿宋_GB2312"/>
          <w:kern w:val="0"/>
          <w:sz w:val="32"/>
          <w:szCs w:val="32"/>
          <w:lang w:val="en-US" w:eastAsia="zh-CN"/>
        </w:rPr>
        <w:t>88.37万元</w:t>
      </w:r>
      <w:r>
        <w:rPr>
          <w:rFonts w:hint="eastAsia" w:ascii="仿宋_GB2312" w:hAnsi="仿宋_GB2312" w:eastAsia="仿宋_GB2312" w:cs="仿宋_GB2312"/>
          <w:kern w:val="0"/>
          <w:sz w:val="32"/>
          <w:szCs w:val="32"/>
        </w:rPr>
        <w:t>、公务员医疗补助缴费</w:t>
      </w:r>
      <w:r>
        <w:rPr>
          <w:rFonts w:hint="eastAsia" w:ascii="仿宋_GB2312" w:hAnsi="仿宋_GB2312" w:eastAsia="仿宋_GB2312" w:cs="仿宋_GB2312"/>
          <w:kern w:val="0"/>
          <w:sz w:val="32"/>
          <w:szCs w:val="32"/>
          <w:lang w:val="en-US" w:eastAsia="zh-CN"/>
        </w:rPr>
        <w:t>35.40万元</w:t>
      </w:r>
      <w:r>
        <w:rPr>
          <w:rFonts w:hint="eastAsia" w:ascii="仿宋_GB2312" w:hAnsi="仿宋_GB2312" w:eastAsia="仿宋_GB2312" w:cs="仿宋_GB2312"/>
          <w:kern w:val="0"/>
          <w:sz w:val="32"/>
          <w:szCs w:val="32"/>
        </w:rPr>
        <w:t>、</w:t>
      </w:r>
      <w:r>
        <w:rPr>
          <w:rFonts w:hint="eastAsia" w:ascii="仿宋_GB2312" w:hAnsi="黑体" w:eastAsia="仿宋_GB2312" w:cs="Times New Roman"/>
          <w:kern w:val="2"/>
          <w:sz w:val="32"/>
          <w:szCs w:val="32"/>
          <w:lang w:val="en-US" w:eastAsia="zh-CN" w:bidi="ar-SA"/>
        </w:rPr>
        <w:t>其他</w:t>
      </w:r>
      <w:r>
        <w:rPr>
          <w:rFonts w:hint="default" w:ascii="仿宋_GB2312" w:hAnsi="黑体" w:eastAsia="仿宋_GB2312" w:cs="Times New Roman"/>
          <w:kern w:val="2"/>
          <w:sz w:val="32"/>
          <w:szCs w:val="32"/>
          <w:lang w:val="en-US" w:eastAsia="zh-CN" w:bidi="ar-SA"/>
        </w:rPr>
        <w:t>社会保障缴费</w:t>
      </w:r>
      <w:r>
        <w:rPr>
          <w:rFonts w:hint="eastAsia" w:ascii="仿宋_GB2312" w:hAnsi="黑体" w:eastAsia="仿宋_GB2312" w:cs="Times New Roman"/>
          <w:kern w:val="2"/>
          <w:sz w:val="32"/>
          <w:szCs w:val="32"/>
          <w:lang w:val="en-US" w:eastAsia="zh-CN" w:bidi="ar-SA"/>
        </w:rPr>
        <w:t>2.13</w:t>
      </w:r>
      <w:r>
        <w:rPr>
          <w:rFonts w:hint="eastAsia" w:ascii="仿宋_GB2312" w:hAnsi="仿宋_GB2312" w:eastAsia="仿宋_GB2312" w:cs="仿宋_GB2312"/>
          <w:kern w:val="0"/>
          <w:sz w:val="32"/>
          <w:szCs w:val="32"/>
          <w:lang w:val="en-US" w:eastAsia="zh-CN"/>
        </w:rPr>
        <w:t>万元</w:t>
      </w:r>
      <w:r>
        <w:rPr>
          <w:rFonts w:hint="eastAsia" w:ascii="仿宋_GB2312" w:hAnsi="黑体" w:eastAsia="仿宋_GB2312" w:cs="Times New Roman"/>
          <w:kern w:val="2"/>
          <w:sz w:val="32"/>
          <w:szCs w:val="32"/>
          <w:lang w:val="en-US" w:eastAsia="zh-CN" w:bidi="ar-SA"/>
        </w:rPr>
        <w:t>、</w:t>
      </w:r>
      <w:r>
        <w:rPr>
          <w:rFonts w:hint="eastAsia" w:ascii="仿宋_GB2312" w:hAnsi="仿宋_GB2312" w:eastAsia="仿宋_GB2312" w:cs="仿宋_GB2312"/>
          <w:kern w:val="0"/>
          <w:sz w:val="32"/>
          <w:szCs w:val="32"/>
        </w:rPr>
        <w:t>住房公积金</w:t>
      </w:r>
      <w:r>
        <w:rPr>
          <w:rFonts w:hint="eastAsia" w:ascii="仿宋_GB2312" w:hAnsi="仿宋_GB2312" w:eastAsia="仿宋_GB2312" w:cs="仿宋_GB2312"/>
          <w:kern w:val="0"/>
          <w:sz w:val="32"/>
          <w:szCs w:val="32"/>
          <w:lang w:val="en-US" w:eastAsia="zh-CN"/>
        </w:rPr>
        <w:t>139.72万元</w:t>
      </w:r>
      <w:r>
        <w:rPr>
          <w:rFonts w:hint="eastAsia" w:ascii="仿宋_GB2312" w:hAnsi="仿宋_GB2312" w:eastAsia="仿宋_GB2312" w:cs="仿宋_GB2312"/>
          <w:kern w:val="0"/>
          <w:sz w:val="32"/>
          <w:szCs w:val="32"/>
        </w:rPr>
        <w:t>、其他工资福利支出</w:t>
      </w:r>
      <w:r>
        <w:rPr>
          <w:rFonts w:hint="eastAsia" w:ascii="仿宋_GB2312" w:hAnsi="仿宋_GB2312" w:eastAsia="仿宋_GB2312" w:cs="仿宋_GB2312"/>
          <w:kern w:val="0"/>
          <w:sz w:val="32"/>
          <w:szCs w:val="32"/>
          <w:lang w:val="en-US" w:eastAsia="zh-CN"/>
        </w:rPr>
        <w:t>57.89万元</w:t>
      </w:r>
      <w:r>
        <w:rPr>
          <w:rFonts w:hint="eastAsia" w:ascii="仿宋_GB2312" w:hAnsi="仿宋_GB2312" w:eastAsia="仿宋_GB2312" w:cs="仿宋_GB2312"/>
          <w:kern w:val="0"/>
          <w:sz w:val="32"/>
          <w:szCs w:val="32"/>
        </w:rPr>
        <w:t>、退休费</w:t>
      </w:r>
      <w:r>
        <w:rPr>
          <w:rFonts w:hint="eastAsia" w:ascii="仿宋_GB2312" w:hAnsi="仿宋_GB2312" w:eastAsia="仿宋_GB2312" w:cs="仿宋_GB2312"/>
          <w:kern w:val="0"/>
          <w:sz w:val="32"/>
          <w:szCs w:val="32"/>
          <w:lang w:val="en-US" w:eastAsia="zh-CN"/>
        </w:rPr>
        <w:t>10.65万元</w:t>
      </w:r>
      <w:r>
        <w:rPr>
          <w:rFonts w:hint="eastAsia" w:ascii="仿宋_GB2312" w:hAnsi="仿宋_GB2312" w:eastAsia="仿宋_GB2312" w:cs="仿宋_GB2312"/>
          <w:kern w:val="0"/>
          <w:sz w:val="32"/>
          <w:szCs w:val="32"/>
        </w:rPr>
        <w:t>。</w:t>
      </w:r>
    </w:p>
    <w:p w14:paraId="7A618FFD">
      <w:pPr>
        <w:pStyle w:val="29"/>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auto"/>
        <w:rPr>
          <w:rFonts w:ascii="Times New Roman" w:hAnsi="Times New Roman" w:eastAsia="Times New Roman" w:cs="Times New Roman"/>
          <w:kern w:val="0"/>
          <w:sz w:val="24"/>
        </w:rPr>
      </w:pPr>
      <w:r>
        <w:rPr>
          <w:rFonts w:hint="eastAsia" w:ascii="楷体_GB2312" w:hAnsi="楷体_GB2312" w:eastAsia="楷体_GB2312" w:cs="楷体_GB2312"/>
          <w:b/>
          <w:bCs/>
          <w:kern w:val="0"/>
          <w:sz w:val="32"/>
          <w:szCs w:val="32"/>
        </w:rPr>
        <w:t>（二）公用经费</w:t>
      </w:r>
      <w:r>
        <w:rPr>
          <w:rFonts w:hint="eastAsia" w:ascii="楷体_GB2312" w:hAnsi="楷体_GB2312" w:eastAsia="楷体_GB2312" w:cs="楷体_GB2312"/>
          <w:kern w:val="0"/>
          <w:sz w:val="32"/>
          <w:szCs w:val="32"/>
          <w:u w:val="none"/>
          <w:lang w:eastAsia="en-US"/>
        </w:rPr>
        <w:t>237.97</w:t>
      </w:r>
      <w:r>
        <w:rPr>
          <w:rFonts w:hint="eastAsia" w:ascii="楷体_GB2312" w:hAnsi="楷体_GB2312" w:eastAsia="楷体_GB2312" w:cs="楷体_GB2312"/>
          <w:b/>
          <w:bCs/>
          <w:kern w:val="0"/>
          <w:sz w:val="32"/>
          <w:szCs w:val="32"/>
        </w:rPr>
        <w:t>万元。</w:t>
      </w:r>
      <w:r>
        <w:rPr>
          <w:rFonts w:hint="eastAsia" w:ascii="仿宋_GB2312" w:hAnsi="仿宋_GB2312" w:eastAsia="仿宋_GB2312" w:cs="仿宋_GB2312"/>
          <w:kern w:val="0"/>
          <w:sz w:val="32"/>
          <w:szCs w:val="32"/>
        </w:rPr>
        <w:t>主要包括：办公费</w:t>
      </w:r>
      <w:r>
        <w:rPr>
          <w:rFonts w:hint="eastAsia" w:ascii="仿宋_GB2312" w:hAnsi="仿宋_GB2312" w:eastAsia="仿宋_GB2312" w:cs="仿宋_GB2312"/>
          <w:kern w:val="0"/>
          <w:sz w:val="32"/>
          <w:szCs w:val="32"/>
          <w:lang w:val="en-US" w:eastAsia="zh-CN"/>
        </w:rPr>
        <w:t>9.55万元</w:t>
      </w:r>
      <w:r>
        <w:rPr>
          <w:rFonts w:hint="eastAsia" w:ascii="仿宋_GB2312" w:hAnsi="仿宋_GB2312" w:eastAsia="仿宋_GB2312" w:cs="仿宋_GB2312"/>
          <w:kern w:val="0"/>
          <w:sz w:val="32"/>
          <w:szCs w:val="32"/>
        </w:rPr>
        <w:t>、手续费</w:t>
      </w:r>
      <w:r>
        <w:rPr>
          <w:rFonts w:hint="eastAsia" w:ascii="仿宋_GB2312" w:hAnsi="仿宋_GB2312" w:eastAsia="仿宋_GB2312" w:cs="仿宋_GB2312"/>
          <w:kern w:val="0"/>
          <w:sz w:val="32"/>
          <w:szCs w:val="32"/>
          <w:lang w:val="en-US" w:eastAsia="zh-CN"/>
        </w:rPr>
        <w:t>0.04万元</w:t>
      </w:r>
      <w:r>
        <w:rPr>
          <w:rFonts w:hint="eastAsia" w:ascii="仿宋_GB2312" w:hAnsi="仿宋_GB2312" w:eastAsia="仿宋_GB2312" w:cs="仿宋_GB2312"/>
          <w:kern w:val="0"/>
          <w:sz w:val="32"/>
          <w:szCs w:val="32"/>
        </w:rPr>
        <w:t>、水费</w:t>
      </w:r>
      <w:r>
        <w:rPr>
          <w:rFonts w:hint="eastAsia" w:ascii="仿宋_GB2312" w:hAnsi="仿宋_GB2312" w:eastAsia="仿宋_GB2312" w:cs="仿宋_GB2312"/>
          <w:kern w:val="0"/>
          <w:sz w:val="32"/>
          <w:szCs w:val="32"/>
          <w:lang w:val="en-US" w:eastAsia="zh-CN"/>
        </w:rPr>
        <w:t>0.02万元</w:t>
      </w:r>
      <w:r>
        <w:rPr>
          <w:rFonts w:hint="eastAsia" w:ascii="仿宋_GB2312" w:hAnsi="仿宋_GB2312" w:eastAsia="仿宋_GB2312" w:cs="仿宋_GB2312"/>
          <w:kern w:val="0"/>
          <w:sz w:val="32"/>
          <w:szCs w:val="32"/>
        </w:rPr>
        <w:t>、电费</w:t>
      </w:r>
      <w:r>
        <w:rPr>
          <w:rFonts w:hint="eastAsia" w:ascii="仿宋_GB2312" w:hAnsi="仿宋_GB2312" w:eastAsia="仿宋_GB2312" w:cs="仿宋_GB2312"/>
          <w:kern w:val="0"/>
          <w:sz w:val="32"/>
          <w:szCs w:val="32"/>
          <w:lang w:val="en-US" w:eastAsia="zh-CN"/>
        </w:rPr>
        <w:t>4.63万元</w:t>
      </w:r>
      <w:r>
        <w:rPr>
          <w:rFonts w:hint="eastAsia" w:ascii="仿宋_GB2312" w:hAnsi="仿宋_GB2312" w:eastAsia="仿宋_GB2312" w:cs="仿宋_GB2312"/>
          <w:kern w:val="0"/>
          <w:sz w:val="32"/>
          <w:szCs w:val="32"/>
        </w:rPr>
        <w:t>、邮电费</w:t>
      </w:r>
      <w:r>
        <w:rPr>
          <w:rFonts w:hint="eastAsia" w:ascii="仿宋_GB2312" w:hAnsi="仿宋_GB2312" w:eastAsia="仿宋_GB2312" w:cs="仿宋_GB2312"/>
          <w:kern w:val="0"/>
          <w:sz w:val="32"/>
          <w:szCs w:val="32"/>
          <w:lang w:val="en-US" w:eastAsia="zh-CN"/>
        </w:rPr>
        <w:t>0.61万元</w:t>
      </w:r>
      <w:r>
        <w:rPr>
          <w:rFonts w:hint="eastAsia" w:ascii="仿宋_GB2312" w:hAnsi="仿宋_GB2312" w:eastAsia="仿宋_GB2312" w:cs="仿宋_GB2312"/>
          <w:kern w:val="0"/>
          <w:sz w:val="32"/>
          <w:szCs w:val="32"/>
        </w:rPr>
        <w:t>、取暖费</w:t>
      </w:r>
      <w:r>
        <w:rPr>
          <w:rFonts w:hint="eastAsia" w:ascii="仿宋_GB2312" w:hAnsi="仿宋_GB2312" w:eastAsia="仿宋_GB2312" w:cs="仿宋_GB2312"/>
          <w:kern w:val="0"/>
          <w:sz w:val="32"/>
          <w:szCs w:val="32"/>
          <w:lang w:val="en-US" w:eastAsia="zh-CN"/>
        </w:rPr>
        <w:t>39.94万元</w:t>
      </w:r>
      <w:r>
        <w:rPr>
          <w:rFonts w:hint="eastAsia" w:ascii="仿宋_GB2312" w:hAnsi="仿宋_GB2312" w:eastAsia="仿宋_GB2312" w:cs="仿宋_GB2312"/>
          <w:kern w:val="0"/>
          <w:sz w:val="32"/>
          <w:szCs w:val="32"/>
        </w:rPr>
        <w:t>、差旅费</w:t>
      </w:r>
      <w:r>
        <w:rPr>
          <w:rFonts w:hint="eastAsia" w:ascii="仿宋_GB2312" w:hAnsi="仿宋_GB2312" w:eastAsia="仿宋_GB2312" w:cs="仿宋_GB2312"/>
          <w:kern w:val="0"/>
          <w:sz w:val="32"/>
          <w:szCs w:val="32"/>
          <w:lang w:val="en-US" w:eastAsia="zh-CN"/>
        </w:rPr>
        <w:t>5.44万元</w:t>
      </w:r>
      <w:r>
        <w:rPr>
          <w:rFonts w:hint="eastAsia" w:ascii="仿宋_GB2312" w:hAnsi="仿宋_GB2312" w:eastAsia="仿宋_GB2312" w:cs="仿宋_GB2312"/>
          <w:kern w:val="0"/>
          <w:sz w:val="32"/>
          <w:szCs w:val="32"/>
        </w:rPr>
        <w:t>、维修（护）费</w:t>
      </w:r>
      <w:r>
        <w:rPr>
          <w:rFonts w:hint="eastAsia" w:ascii="仿宋_GB2312" w:hAnsi="仿宋_GB2312" w:eastAsia="仿宋_GB2312" w:cs="仿宋_GB2312"/>
          <w:kern w:val="0"/>
          <w:sz w:val="32"/>
          <w:szCs w:val="32"/>
          <w:lang w:val="en-US" w:eastAsia="zh-CN"/>
        </w:rPr>
        <w:t>6.40万元</w:t>
      </w:r>
      <w:r>
        <w:rPr>
          <w:rFonts w:hint="eastAsia" w:ascii="仿宋_GB2312" w:hAnsi="仿宋_GB2312" w:eastAsia="仿宋_GB2312" w:cs="仿宋_GB2312"/>
          <w:kern w:val="0"/>
          <w:sz w:val="32"/>
          <w:szCs w:val="32"/>
        </w:rPr>
        <w:t>、租赁费</w:t>
      </w:r>
      <w:r>
        <w:rPr>
          <w:rFonts w:hint="eastAsia" w:ascii="仿宋_GB2312" w:hAnsi="仿宋_GB2312" w:eastAsia="仿宋_GB2312" w:cs="仿宋_GB2312"/>
          <w:kern w:val="0"/>
          <w:sz w:val="32"/>
          <w:szCs w:val="32"/>
          <w:lang w:val="en-US" w:eastAsia="zh-CN"/>
        </w:rPr>
        <w:t>0.90万元</w:t>
      </w:r>
      <w:r>
        <w:rPr>
          <w:rFonts w:hint="eastAsia" w:ascii="仿宋_GB2312" w:hAnsi="仿宋_GB2312" w:eastAsia="仿宋_GB2312" w:cs="仿宋_GB2312"/>
          <w:kern w:val="0"/>
          <w:sz w:val="32"/>
          <w:szCs w:val="32"/>
        </w:rPr>
        <w:t>、培训费</w:t>
      </w:r>
      <w:r>
        <w:rPr>
          <w:rFonts w:hint="eastAsia" w:ascii="仿宋_GB2312" w:hAnsi="仿宋_GB2312" w:eastAsia="仿宋_GB2312" w:cs="仿宋_GB2312"/>
          <w:kern w:val="0"/>
          <w:sz w:val="32"/>
          <w:szCs w:val="32"/>
          <w:lang w:val="en-US" w:eastAsia="zh-CN"/>
        </w:rPr>
        <w:t>13.44万元</w:t>
      </w:r>
      <w:r>
        <w:rPr>
          <w:rFonts w:hint="eastAsia" w:ascii="仿宋_GB2312" w:hAnsi="仿宋_GB2312" w:eastAsia="仿宋_GB2312" w:cs="仿宋_GB2312"/>
          <w:kern w:val="0"/>
          <w:sz w:val="32"/>
          <w:szCs w:val="32"/>
        </w:rPr>
        <w:t>、专用材料费</w:t>
      </w:r>
      <w:r>
        <w:rPr>
          <w:rFonts w:hint="eastAsia" w:ascii="仿宋_GB2312" w:hAnsi="仿宋_GB2312" w:eastAsia="仿宋_GB2312" w:cs="仿宋_GB2312"/>
          <w:kern w:val="0"/>
          <w:sz w:val="32"/>
          <w:szCs w:val="32"/>
          <w:lang w:val="en-US" w:eastAsia="zh-CN"/>
        </w:rPr>
        <w:t>30.10万元</w:t>
      </w:r>
      <w:r>
        <w:rPr>
          <w:rFonts w:hint="eastAsia" w:ascii="仿宋_GB2312" w:hAnsi="仿宋_GB2312" w:eastAsia="仿宋_GB2312" w:cs="仿宋_GB2312"/>
          <w:kern w:val="0"/>
          <w:sz w:val="32"/>
          <w:szCs w:val="32"/>
        </w:rPr>
        <w:t>、劳务费</w:t>
      </w:r>
      <w:r>
        <w:rPr>
          <w:rFonts w:hint="eastAsia" w:ascii="仿宋_GB2312" w:hAnsi="仿宋_GB2312" w:eastAsia="仿宋_GB2312" w:cs="仿宋_GB2312"/>
          <w:kern w:val="0"/>
          <w:sz w:val="32"/>
          <w:szCs w:val="32"/>
          <w:lang w:val="en-US" w:eastAsia="zh-CN"/>
        </w:rPr>
        <w:t>6.48万元</w:t>
      </w:r>
      <w:r>
        <w:rPr>
          <w:rFonts w:hint="eastAsia" w:ascii="仿宋_GB2312" w:hAnsi="仿宋_GB2312" w:eastAsia="仿宋_GB2312" w:cs="仿宋_GB2312"/>
          <w:kern w:val="0"/>
          <w:sz w:val="32"/>
          <w:szCs w:val="32"/>
        </w:rPr>
        <w:t>、工会经费</w:t>
      </w:r>
      <w:r>
        <w:rPr>
          <w:rFonts w:hint="eastAsia" w:ascii="仿宋_GB2312" w:hAnsi="仿宋_GB2312" w:eastAsia="仿宋_GB2312" w:cs="仿宋_GB2312"/>
          <w:kern w:val="0"/>
          <w:sz w:val="32"/>
          <w:szCs w:val="32"/>
          <w:lang w:val="en-US" w:eastAsia="zh-CN"/>
        </w:rPr>
        <w:t>16.39万元</w:t>
      </w:r>
      <w:r>
        <w:rPr>
          <w:rFonts w:hint="eastAsia" w:ascii="仿宋_GB2312" w:hAnsi="仿宋_GB2312" w:eastAsia="仿宋_GB2312" w:cs="仿宋_GB2312"/>
          <w:kern w:val="0"/>
          <w:sz w:val="32"/>
          <w:szCs w:val="32"/>
        </w:rPr>
        <w:t>、福利费</w:t>
      </w:r>
      <w:r>
        <w:rPr>
          <w:rFonts w:hint="eastAsia" w:ascii="仿宋_GB2312" w:hAnsi="仿宋_GB2312" w:eastAsia="仿宋_GB2312" w:cs="仿宋_GB2312"/>
          <w:kern w:val="0"/>
          <w:sz w:val="32"/>
          <w:szCs w:val="32"/>
          <w:lang w:val="en-US" w:eastAsia="zh-CN"/>
        </w:rPr>
        <w:t>20.61万元</w:t>
      </w:r>
      <w:r>
        <w:rPr>
          <w:rFonts w:hint="eastAsia" w:ascii="仿宋_GB2312" w:hAnsi="仿宋_GB2312" w:eastAsia="仿宋_GB2312" w:cs="仿宋_GB2312"/>
          <w:kern w:val="0"/>
          <w:sz w:val="32"/>
          <w:szCs w:val="32"/>
        </w:rPr>
        <w:t>、其他交通费用</w:t>
      </w:r>
      <w:r>
        <w:rPr>
          <w:rFonts w:hint="eastAsia" w:ascii="仿宋_GB2312" w:hAnsi="仿宋_GB2312" w:eastAsia="仿宋_GB2312" w:cs="仿宋_GB2312"/>
          <w:kern w:val="0"/>
          <w:sz w:val="32"/>
          <w:szCs w:val="32"/>
          <w:lang w:val="en-US" w:eastAsia="zh-CN"/>
        </w:rPr>
        <w:t>52.19万元</w:t>
      </w:r>
      <w:r>
        <w:rPr>
          <w:rFonts w:hint="eastAsia" w:ascii="仿宋_GB2312" w:hAnsi="仿宋_GB2312" w:eastAsia="仿宋_GB2312" w:cs="仿宋_GB2312"/>
          <w:kern w:val="0"/>
          <w:sz w:val="32"/>
          <w:szCs w:val="32"/>
        </w:rPr>
        <w:t>、其他商品和服务支出</w:t>
      </w:r>
      <w:r>
        <w:rPr>
          <w:rFonts w:hint="eastAsia" w:ascii="仿宋_GB2312" w:hAnsi="仿宋_GB2312" w:eastAsia="仿宋_GB2312" w:cs="仿宋_GB2312"/>
          <w:kern w:val="0"/>
          <w:sz w:val="32"/>
          <w:szCs w:val="32"/>
          <w:lang w:val="en-US" w:eastAsia="zh-CN"/>
        </w:rPr>
        <w:t>31.23万元</w:t>
      </w:r>
      <w:r>
        <w:rPr>
          <w:rFonts w:hint="eastAsia" w:ascii="仿宋_GB2312" w:hAnsi="仿宋_GB2312" w:eastAsia="仿宋_GB2312" w:cs="仿宋_GB2312"/>
          <w:kern w:val="0"/>
          <w:sz w:val="32"/>
          <w:szCs w:val="32"/>
        </w:rPr>
        <w:t>。</w:t>
      </w:r>
    </w:p>
    <w:p w14:paraId="0E2949A1">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Times New Roman" w:cs="Times New Roman"/>
          <w:kern w:val="0"/>
          <w:sz w:val="24"/>
        </w:rPr>
      </w:pPr>
      <w:r>
        <w:rPr>
          <w:rFonts w:ascii="黑体" w:hAnsi="黑体" w:eastAsia="黑体" w:cs="黑体"/>
          <w:b w:val="0"/>
          <w:bCs w:val="0"/>
          <w:kern w:val="0"/>
          <w:sz w:val="32"/>
          <w:szCs w:val="32"/>
        </w:rPr>
        <w:t>七、一般公共预算财政拨款项目支出决算情况说明</w:t>
      </w:r>
    </w:p>
    <w:p w14:paraId="7004356C">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Times New Roman" w:cs="Times New Roman"/>
          <w:kern w:val="0"/>
          <w:sz w:val="24"/>
        </w:rPr>
      </w:pPr>
      <w:r>
        <w:rPr>
          <w:rFonts w:hint="eastAsia" w:ascii="仿宋_GB2312" w:hAnsi="仿宋_GB2312" w:eastAsia="仿宋_GB2312" w:cs="仿宋_GB2312"/>
          <w:kern w:val="0"/>
          <w:sz w:val="32"/>
          <w:szCs w:val="32"/>
        </w:rPr>
        <w:t>内蒙古大兴安岭森林公安局北部原始林区分局</w:t>
      </w:r>
      <w:r>
        <w:rPr>
          <w:rFonts w:hint="eastAsia" w:ascii="仿宋_GB2312" w:hAnsi="仿宋_GB2312" w:eastAsia="仿宋_GB2312" w:cs="仿宋_GB2312"/>
          <w:kern w:val="0"/>
          <w:sz w:val="32"/>
          <w:szCs w:val="32"/>
          <w:lang w:eastAsia="en-US"/>
        </w:rPr>
        <w:t>2025</w:t>
      </w:r>
      <w:r>
        <w:rPr>
          <w:rFonts w:hint="eastAsia" w:ascii="仿宋_GB2312" w:hAnsi="仿宋_GB2312" w:eastAsia="仿宋_GB2312" w:cs="仿宋_GB2312"/>
          <w:kern w:val="0"/>
          <w:sz w:val="32"/>
          <w:szCs w:val="32"/>
        </w:rPr>
        <w:t>年度一般公共预算财政拨款项目支出决算</w:t>
      </w:r>
      <w:r>
        <w:rPr>
          <w:rFonts w:hint="eastAsia" w:ascii="仿宋_GB2312" w:hAnsi="仿宋_GB2312" w:eastAsia="仿宋_GB2312" w:cs="仿宋_GB2312"/>
          <w:kern w:val="0"/>
          <w:sz w:val="32"/>
          <w:szCs w:val="32"/>
          <w:u w:val="none"/>
          <w:lang w:eastAsia="en-US"/>
        </w:rPr>
        <w:t>87.00</w:t>
      </w:r>
      <w:r>
        <w:rPr>
          <w:rFonts w:hint="eastAsia" w:ascii="仿宋_GB2312" w:hAnsi="仿宋_GB2312" w:eastAsia="仿宋_GB2312" w:cs="仿宋_GB2312"/>
          <w:kern w:val="0"/>
          <w:sz w:val="32"/>
          <w:szCs w:val="32"/>
        </w:rPr>
        <w:t>万元，其中：</w:t>
      </w:r>
    </w:p>
    <w:p w14:paraId="5CB9872D">
      <w:pPr>
        <w:pStyle w:val="29"/>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auto"/>
        <w:rPr>
          <w:rFonts w:ascii="Times New Roman" w:hAnsi="Times New Roman" w:eastAsia="Times New Roman" w:cs="Times New Roman"/>
          <w:kern w:val="0"/>
          <w:sz w:val="24"/>
        </w:rPr>
      </w:pPr>
      <w:r>
        <w:rPr>
          <w:rFonts w:hint="eastAsia" w:ascii="楷体_GB2312" w:hAnsi="楷体_GB2312" w:eastAsia="楷体_GB2312" w:cs="楷体_GB2312"/>
          <w:b/>
          <w:bCs/>
          <w:kern w:val="0"/>
          <w:sz w:val="32"/>
          <w:szCs w:val="32"/>
        </w:rPr>
        <w:t>（</w:t>
      </w:r>
      <w:r>
        <w:rPr>
          <w:rFonts w:hint="eastAsia" w:ascii="楷体_GB2312" w:hAnsi="楷体_GB2312" w:eastAsia="楷体_GB2312" w:cs="楷体_GB2312"/>
          <w:b/>
          <w:bCs/>
          <w:kern w:val="0"/>
          <w:sz w:val="32"/>
          <w:szCs w:val="32"/>
          <w:lang w:val="en-US" w:eastAsia="zh-CN"/>
        </w:rPr>
        <w:t>一）商品和服务支出</w:t>
      </w:r>
      <w:r>
        <w:rPr>
          <w:rFonts w:hint="eastAsia" w:ascii="楷体_GB2312" w:hAnsi="楷体_GB2312" w:eastAsia="楷体_GB2312" w:cs="楷体_GB2312"/>
          <w:b/>
          <w:bCs/>
          <w:kern w:val="0"/>
          <w:sz w:val="32"/>
          <w:szCs w:val="32"/>
          <w:lang w:val="en-US" w:eastAsia="en-US"/>
        </w:rPr>
        <w:t>44.50</w:t>
      </w:r>
      <w:r>
        <w:rPr>
          <w:rFonts w:hint="eastAsia" w:ascii="楷体_GB2312" w:hAnsi="楷体_GB2312" w:eastAsia="楷体_GB2312" w:cs="楷体_GB2312"/>
          <w:b/>
          <w:bCs/>
          <w:kern w:val="0"/>
          <w:sz w:val="32"/>
          <w:szCs w:val="32"/>
          <w:lang w:val="en-US" w:eastAsia="zh-CN"/>
        </w:rPr>
        <w:t>万</w:t>
      </w:r>
      <w:r>
        <w:rPr>
          <w:rFonts w:hint="eastAsia" w:ascii="楷体_GB2312" w:hAnsi="楷体_GB2312" w:eastAsia="楷体_GB2312" w:cs="楷体_GB2312"/>
          <w:b/>
          <w:bCs/>
          <w:kern w:val="0"/>
          <w:sz w:val="32"/>
          <w:szCs w:val="32"/>
        </w:rPr>
        <w:t>元。</w:t>
      </w:r>
      <w:r>
        <w:rPr>
          <w:rFonts w:hint="eastAsia" w:ascii="仿宋_GB2312" w:hAnsi="仿宋_GB2312" w:eastAsia="仿宋_GB2312" w:cs="仿宋_GB2312"/>
          <w:kern w:val="0"/>
          <w:sz w:val="32"/>
          <w:szCs w:val="32"/>
        </w:rPr>
        <w:t>主要包括：差旅费</w:t>
      </w:r>
      <w:r>
        <w:rPr>
          <w:rFonts w:hint="eastAsia" w:ascii="仿宋_GB2312" w:hAnsi="仿宋_GB2312" w:eastAsia="仿宋_GB2312" w:cs="仿宋_GB2312"/>
          <w:kern w:val="0"/>
          <w:sz w:val="32"/>
          <w:szCs w:val="32"/>
          <w:lang w:val="en-US" w:eastAsia="zh-CN"/>
        </w:rPr>
        <w:t>36.00万元</w:t>
      </w:r>
      <w:r>
        <w:rPr>
          <w:rFonts w:hint="eastAsia" w:ascii="仿宋_GB2312" w:hAnsi="仿宋_GB2312" w:eastAsia="仿宋_GB2312" w:cs="仿宋_GB2312"/>
          <w:kern w:val="0"/>
          <w:sz w:val="32"/>
          <w:szCs w:val="32"/>
        </w:rPr>
        <w:t>、租赁费</w:t>
      </w:r>
      <w:r>
        <w:rPr>
          <w:rFonts w:hint="eastAsia" w:ascii="仿宋_GB2312" w:hAnsi="仿宋_GB2312" w:eastAsia="仿宋_GB2312" w:cs="仿宋_GB2312"/>
          <w:kern w:val="0"/>
          <w:sz w:val="32"/>
          <w:szCs w:val="32"/>
          <w:lang w:val="en-US" w:eastAsia="zh-CN"/>
        </w:rPr>
        <w:t>7.50万元</w:t>
      </w:r>
      <w:r>
        <w:rPr>
          <w:rFonts w:hint="eastAsia" w:ascii="仿宋_GB2312" w:hAnsi="仿宋_GB2312" w:eastAsia="仿宋_GB2312" w:cs="仿宋_GB2312"/>
          <w:kern w:val="0"/>
          <w:sz w:val="32"/>
          <w:szCs w:val="32"/>
        </w:rPr>
        <w:t>、专用材料费</w:t>
      </w:r>
      <w:r>
        <w:rPr>
          <w:rFonts w:hint="eastAsia" w:ascii="仿宋_GB2312" w:hAnsi="仿宋_GB2312" w:eastAsia="仿宋_GB2312" w:cs="仿宋_GB2312"/>
          <w:kern w:val="0"/>
          <w:sz w:val="32"/>
          <w:szCs w:val="32"/>
          <w:lang w:val="en-US" w:eastAsia="zh-CN"/>
        </w:rPr>
        <w:t>0.85万元</w:t>
      </w:r>
      <w:r>
        <w:rPr>
          <w:rFonts w:hint="eastAsia" w:ascii="仿宋_GB2312" w:hAnsi="仿宋_GB2312" w:eastAsia="仿宋_GB2312" w:cs="仿宋_GB2312"/>
          <w:kern w:val="0"/>
          <w:sz w:val="32"/>
          <w:szCs w:val="32"/>
        </w:rPr>
        <w:t>、劳务费</w:t>
      </w:r>
      <w:r>
        <w:rPr>
          <w:rFonts w:hint="eastAsia" w:ascii="仿宋_GB2312" w:hAnsi="仿宋_GB2312" w:eastAsia="仿宋_GB2312" w:cs="仿宋_GB2312"/>
          <w:kern w:val="0"/>
          <w:sz w:val="32"/>
          <w:szCs w:val="32"/>
          <w:lang w:val="en-US" w:eastAsia="zh-CN"/>
        </w:rPr>
        <w:t>0.15万元</w:t>
      </w:r>
      <w:r>
        <w:rPr>
          <w:rFonts w:hint="eastAsia" w:ascii="仿宋_GB2312" w:hAnsi="仿宋_GB2312" w:eastAsia="仿宋_GB2312" w:cs="仿宋_GB2312"/>
          <w:kern w:val="0"/>
          <w:sz w:val="32"/>
          <w:szCs w:val="32"/>
        </w:rPr>
        <w:t>。</w:t>
      </w:r>
    </w:p>
    <w:p w14:paraId="2AA4B069">
      <w:pPr>
        <w:pStyle w:val="29"/>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auto"/>
        <w:rPr>
          <w:rFonts w:ascii="Times New Roman" w:hAnsi="Times New Roman" w:eastAsia="Times New Roman" w:cs="Times New Roman"/>
          <w:kern w:val="0"/>
          <w:sz w:val="24"/>
        </w:rPr>
      </w:pPr>
      <w:r>
        <w:rPr>
          <w:rFonts w:hint="eastAsia" w:ascii="楷体_GB2312" w:hAnsi="楷体_GB2312" w:eastAsia="楷体_GB2312" w:cs="楷体_GB2312"/>
          <w:b/>
          <w:bCs/>
          <w:kern w:val="0"/>
          <w:sz w:val="32"/>
          <w:szCs w:val="32"/>
        </w:rPr>
        <w:t>（</w:t>
      </w:r>
      <w:r>
        <w:rPr>
          <w:rFonts w:hint="eastAsia" w:ascii="楷体_GB2312" w:hAnsi="楷体_GB2312" w:eastAsia="楷体_GB2312" w:cs="楷体_GB2312"/>
          <w:b/>
          <w:bCs/>
          <w:kern w:val="0"/>
          <w:sz w:val="32"/>
          <w:szCs w:val="32"/>
          <w:lang w:eastAsia="zh-CN"/>
        </w:rPr>
        <w:t>二</w:t>
      </w:r>
      <w:r>
        <w:rPr>
          <w:rFonts w:hint="eastAsia" w:ascii="楷体_GB2312" w:hAnsi="楷体_GB2312" w:eastAsia="楷体_GB2312" w:cs="楷体_GB2312"/>
          <w:b/>
          <w:bCs/>
          <w:kern w:val="0"/>
          <w:sz w:val="32"/>
          <w:szCs w:val="32"/>
        </w:rPr>
        <w:t>）资本性支出</w:t>
      </w:r>
      <w:r>
        <w:rPr>
          <w:rFonts w:hint="eastAsia" w:ascii="楷体_GB2312" w:hAnsi="楷体_GB2312" w:eastAsia="楷体_GB2312" w:cs="楷体_GB2312"/>
          <w:b/>
          <w:bCs/>
          <w:kern w:val="0"/>
          <w:sz w:val="32"/>
          <w:szCs w:val="32"/>
          <w:lang w:eastAsia="en-US"/>
        </w:rPr>
        <w:t>42.50</w:t>
      </w:r>
      <w:r>
        <w:rPr>
          <w:rFonts w:hint="eastAsia" w:ascii="楷体_GB2312" w:hAnsi="楷体_GB2312" w:eastAsia="楷体_GB2312" w:cs="楷体_GB2312"/>
          <w:b/>
          <w:bCs/>
          <w:kern w:val="0"/>
          <w:sz w:val="32"/>
          <w:szCs w:val="32"/>
        </w:rPr>
        <w:t>万元。</w:t>
      </w:r>
      <w:r>
        <w:rPr>
          <w:rFonts w:hint="eastAsia" w:ascii="仿宋_GB2312" w:hAnsi="仿宋_GB2312" w:eastAsia="仿宋_GB2312" w:cs="仿宋_GB2312"/>
          <w:kern w:val="0"/>
          <w:sz w:val="32"/>
          <w:szCs w:val="32"/>
        </w:rPr>
        <w:t>主要包括：专用设备购置</w:t>
      </w:r>
      <w:r>
        <w:rPr>
          <w:rFonts w:hint="eastAsia" w:ascii="仿宋_GB2312" w:hAnsi="仿宋_GB2312" w:eastAsia="仿宋_GB2312" w:cs="仿宋_GB2312"/>
          <w:kern w:val="0"/>
          <w:sz w:val="32"/>
          <w:szCs w:val="32"/>
          <w:lang w:val="en-US" w:eastAsia="zh-CN"/>
        </w:rPr>
        <w:t>15.39万元</w:t>
      </w:r>
      <w:r>
        <w:rPr>
          <w:rFonts w:hint="eastAsia" w:ascii="仿宋_GB2312" w:hAnsi="仿宋_GB2312" w:eastAsia="仿宋_GB2312" w:cs="仿宋_GB2312"/>
          <w:kern w:val="0"/>
          <w:sz w:val="32"/>
          <w:szCs w:val="32"/>
        </w:rPr>
        <w:t>、其他交通工具购置</w:t>
      </w:r>
      <w:r>
        <w:rPr>
          <w:rFonts w:hint="eastAsia" w:ascii="仿宋_GB2312" w:hAnsi="仿宋_GB2312" w:eastAsia="仿宋_GB2312" w:cs="仿宋_GB2312"/>
          <w:kern w:val="0"/>
          <w:sz w:val="32"/>
          <w:szCs w:val="32"/>
          <w:lang w:val="en-US" w:eastAsia="zh-CN"/>
        </w:rPr>
        <w:t>27.11万元</w:t>
      </w:r>
      <w:r>
        <w:rPr>
          <w:rFonts w:hint="eastAsia" w:ascii="仿宋_GB2312" w:hAnsi="仿宋_GB2312" w:eastAsia="仿宋_GB2312" w:cs="仿宋_GB2312"/>
          <w:kern w:val="0"/>
          <w:sz w:val="32"/>
          <w:szCs w:val="32"/>
        </w:rPr>
        <w:t>。</w:t>
      </w:r>
    </w:p>
    <w:p w14:paraId="5116AFD3">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Times New Roman" w:cs="Times New Roman"/>
          <w:kern w:val="0"/>
          <w:sz w:val="24"/>
        </w:rPr>
      </w:pPr>
      <w:r>
        <w:rPr>
          <w:rFonts w:hint="eastAsia" w:ascii="黑体" w:hAnsi="黑体" w:eastAsia="黑体" w:cs="黑体"/>
          <w:b w:val="0"/>
          <w:bCs w:val="0"/>
          <w:kern w:val="0"/>
          <w:sz w:val="32"/>
          <w:szCs w:val="32"/>
        </w:rPr>
        <w:t>八、财政拨款</w:t>
      </w:r>
      <w:r>
        <w:rPr>
          <w:rFonts w:hint="eastAsia" w:ascii="黑体" w:hAnsi="黑体" w:eastAsia="黑体" w:cs="黑体"/>
          <w:b w:val="0"/>
          <w:bCs w:val="0"/>
          <w:kern w:val="0"/>
          <w:sz w:val="32"/>
          <w:szCs w:val="32"/>
          <w:lang w:eastAsia="en-US"/>
        </w:rPr>
        <w:t>“</w:t>
      </w:r>
      <w:r>
        <w:rPr>
          <w:rFonts w:hint="eastAsia" w:ascii="黑体" w:hAnsi="黑体" w:eastAsia="黑体" w:cs="黑体"/>
          <w:b w:val="0"/>
          <w:bCs w:val="0"/>
          <w:kern w:val="0"/>
          <w:sz w:val="32"/>
          <w:szCs w:val="32"/>
        </w:rPr>
        <w:t>三公</w:t>
      </w:r>
      <w:r>
        <w:rPr>
          <w:rFonts w:hint="eastAsia" w:ascii="黑体" w:hAnsi="黑体" w:eastAsia="黑体" w:cs="黑体"/>
          <w:b w:val="0"/>
          <w:bCs w:val="0"/>
          <w:kern w:val="0"/>
          <w:sz w:val="32"/>
          <w:szCs w:val="32"/>
          <w:lang w:eastAsia="en-US"/>
        </w:rPr>
        <w:t>”</w:t>
      </w:r>
      <w:r>
        <w:rPr>
          <w:rFonts w:hint="eastAsia" w:ascii="黑体" w:hAnsi="黑体" w:eastAsia="黑体" w:cs="黑体"/>
          <w:b w:val="0"/>
          <w:bCs w:val="0"/>
          <w:kern w:val="0"/>
          <w:sz w:val="32"/>
          <w:szCs w:val="32"/>
        </w:rPr>
        <w:t>经费支出决算情况说明</w:t>
      </w:r>
    </w:p>
    <w:p w14:paraId="7697CB66">
      <w:pPr>
        <w:pStyle w:val="29"/>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auto"/>
        <w:rPr>
          <w:rFonts w:ascii="Times New Roman" w:hAnsi="Times New Roman" w:eastAsia="Times New Roman" w:cs="Times New Roman"/>
          <w:kern w:val="0"/>
          <w:sz w:val="24"/>
        </w:rPr>
      </w:pPr>
      <w:r>
        <w:rPr>
          <w:rFonts w:hint="eastAsia" w:ascii="楷体_GB2312" w:hAnsi="楷体_GB2312" w:eastAsia="楷体_GB2312" w:cs="楷体_GB2312"/>
          <w:b/>
          <w:bCs/>
          <w:kern w:val="0"/>
          <w:sz w:val="32"/>
          <w:szCs w:val="32"/>
        </w:rPr>
        <w:t>（一）财政拨款</w:t>
      </w:r>
      <w:r>
        <w:rPr>
          <w:rFonts w:hint="eastAsia" w:ascii="楷体_GB2312" w:hAnsi="楷体_GB2312" w:eastAsia="楷体_GB2312" w:cs="楷体_GB2312"/>
          <w:b/>
          <w:bCs/>
          <w:kern w:val="0"/>
          <w:sz w:val="32"/>
          <w:szCs w:val="32"/>
          <w:lang w:eastAsia="en-US"/>
        </w:rPr>
        <w:t>“</w:t>
      </w:r>
      <w:r>
        <w:rPr>
          <w:rFonts w:hint="eastAsia" w:ascii="楷体_GB2312" w:hAnsi="楷体_GB2312" w:eastAsia="楷体_GB2312" w:cs="楷体_GB2312"/>
          <w:b/>
          <w:bCs/>
          <w:kern w:val="0"/>
          <w:sz w:val="32"/>
          <w:szCs w:val="32"/>
        </w:rPr>
        <w:t>三公</w:t>
      </w:r>
      <w:r>
        <w:rPr>
          <w:rFonts w:hint="eastAsia" w:ascii="楷体_GB2312" w:hAnsi="楷体_GB2312" w:eastAsia="楷体_GB2312" w:cs="楷体_GB2312"/>
          <w:b/>
          <w:bCs/>
          <w:kern w:val="0"/>
          <w:sz w:val="32"/>
          <w:szCs w:val="32"/>
          <w:lang w:eastAsia="en-US"/>
        </w:rPr>
        <w:t>”</w:t>
      </w:r>
      <w:r>
        <w:rPr>
          <w:rFonts w:hint="eastAsia" w:ascii="楷体_GB2312" w:hAnsi="楷体_GB2312" w:eastAsia="楷体_GB2312" w:cs="楷体_GB2312"/>
          <w:b/>
          <w:bCs/>
          <w:kern w:val="0"/>
          <w:sz w:val="32"/>
          <w:szCs w:val="32"/>
        </w:rPr>
        <w:t>经费支出总体情况说明。</w:t>
      </w:r>
    </w:p>
    <w:p w14:paraId="5CCBC882">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Times New Roman" w:cs="Times New Roman"/>
          <w:kern w:val="0"/>
          <w:sz w:val="24"/>
        </w:rPr>
      </w:pPr>
      <w:r>
        <w:rPr>
          <w:rFonts w:hint="eastAsia" w:ascii="仿宋_GB2312" w:hAnsi="仿宋_GB2312" w:eastAsia="仿宋_GB2312" w:cs="仿宋_GB2312"/>
          <w:kern w:val="0"/>
          <w:sz w:val="32"/>
          <w:szCs w:val="32"/>
        </w:rPr>
        <w:t>内蒙古大兴安岭森林公安局北部原始林区分局</w:t>
      </w:r>
      <w:r>
        <w:rPr>
          <w:rFonts w:hint="eastAsia" w:ascii="仿宋_GB2312" w:hAnsi="仿宋_GB2312" w:eastAsia="仿宋_GB2312" w:cs="仿宋_GB2312"/>
          <w:kern w:val="0"/>
          <w:sz w:val="32"/>
          <w:szCs w:val="32"/>
          <w:lang w:eastAsia="en-US"/>
        </w:rPr>
        <w:t>2025</w:t>
      </w:r>
      <w:r>
        <w:rPr>
          <w:rFonts w:hint="eastAsia" w:ascii="仿宋_GB2312" w:hAnsi="仿宋_GB2312" w:eastAsia="仿宋_GB2312" w:cs="仿宋_GB2312"/>
          <w:kern w:val="0"/>
          <w:sz w:val="32"/>
          <w:szCs w:val="32"/>
        </w:rPr>
        <w:t>年度财政拨款“三公”经费全年预算</w:t>
      </w:r>
      <w:r>
        <w:rPr>
          <w:rFonts w:hint="eastAsia" w:ascii="仿宋_GB2312" w:hAnsi="仿宋_GB2312" w:eastAsia="仿宋_GB2312" w:cs="仿宋_GB2312"/>
          <w:kern w:val="0"/>
          <w:sz w:val="32"/>
          <w:szCs w:val="32"/>
          <w:lang w:val="en-US" w:eastAsia="zh-CN"/>
        </w:rPr>
        <w:t>0.00万元</w:t>
      </w:r>
      <w:r>
        <w:rPr>
          <w:rFonts w:hint="eastAsia" w:ascii="仿宋_GB2312" w:hAnsi="仿宋_GB2312" w:eastAsia="仿宋_GB2312" w:cs="仿宋_GB2312"/>
          <w:kern w:val="0"/>
          <w:sz w:val="32"/>
          <w:szCs w:val="32"/>
        </w:rPr>
        <w:t>，支出决算</w:t>
      </w:r>
      <w:r>
        <w:rPr>
          <w:rFonts w:hint="eastAsia" w:ascii="仿宋_GB2312" w:hAnsi="仿宋_GB2312" w:eastAsia="仿宋_GB2312" w:cs="仿宋_GB2312"/>
          <w:kern w:val="0"/>
          <w:sz w:val="32"/>
          <w:szCs w:val="32"/>
          <w:lang w:val="en-US" w:eastAsia="zh-CN"/>
        </w:rPr>
        <w:t>0.00万元</w:t>
      </w:r>
      <w:r>
        <w:rPr>
          <w:rFonts w:hint="eastAsia" w:ascii="仿宋_GB2312" w:hAnsi="仿宋_GB2312" w:eastAsia="仿宋_GB2312" w:cs="仿宋_GB2312"/>
          <w:kern w:val="0"/>
          <w:sz w:val="32"/>
          <w:szCs w:val="32"/>
        </w:rPr>
        <w:t>，完成预算的</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。其中：因公出国（境）费全年预算</w:t>
      </w:r>
      <w:r>
        <w:rPr>
          <w:rFonts w:hint="eastAsia" w:ascii="仿宋_GB2312" w:hAnsi="仿宋_GB2312" w:eastAsia="仿宋_GB2312" w:cs="仿宋_GB2312"/>
          <w:kern w:val="0"/>
          <w:sz w:val="32"/>
          <w:szCs w:val="32"/>
          <w:lang w:val="en-US" w:eastAsia="zh-CN"/>
        </w:rPr>
        <w:t>0.00万元</w:t>
      </w:r>
      <w:r>
        <w:rPr>
          <w:rFonts w:hint="eastAsia" w:ascii="仿宋_GB2312" w:hAnsi="仿宋_GB2312" w:eastAsia="仿宋_GB2312" w:cs="仿宋_GB2312"/>
          <w:kern w:val="0"/>
          <w:sz w:val="32"/>
          <w:szCs w:val="32"/>
        </w:rPr>
        <w:t>，支出决算</w:t>
      </w:r>
      <w:r>
        <w:rPr>
          <w:rFonts w:hint="eastAsia" w:ascii="仿宋_GB2312" w:hAnsi="仿宋_GB2312" w:eastAsia="仿宋_GB2312" w:cs="仿宋_GB2312"/>
          <w:kern w:val="0"/>
          <w:sz w:val="32"/>
          <w:szCs w:val="32"/>
          <w:lang w:val="en-US" w:eastAsia="zh-CN"/>
        </w:rPr>
        <w:t>0.00万元</w:t>
      </w:r>
      <w:r>
        <w:rPr>
          <w:rFonts w:hint="eastAsia" w:ascii="仿宋_GB2312" w:hAnsi="仿宋_GB2312" w:eastAsia="仿宋_GB2312" w:cs="仿宋_GB2312"/>
          <w:kern w:val="0"/>
          <w:sz w:val="32"/>
          <w:szCs w:val="32"/>
        </w:rPr>
        <w:t>，完成预算的</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；公务用车购置及运行维护费全年预算</w:t>
      </w:r>
      <w:r>
        <w:rPr>
          <w:rFonts w:hint="eastAsia" w:ascii="仿宋_GB2312" w:hAnsi="仿宋_GB2312" w:eastAsia="仿宋_GB2312" w:cs="仿宋_GB2312"/>
          <w:kern w:val="0"/>
          <w:sz w:val="32"/>
          <w:szCs w:val="32"/>
          <w:lang w:val="en-US" w:eastAsia="zh-CN"/>
        </w:rPr>
        <w:t>0.00万元</w:t>
      </w:r>
      <w:r>
        <w:rPr>
          <w:rFonts w:hint="eastAsia" w:ascii="仿宋_GB2312" w:hAnsi="仿宋_GB2312" w:eastAsia="仿宋_GB2312" w:cs="仿宋_GB2312"/>
          <w:kern w:val="0"/>
          <w:sz w:val="32"/>
          <w:szCs w:val="32"/>
        </w:rPr>
        <w:t>，支出决算</w:t>
      </w:r>
      <w:r>
        <w:rPr>
          <w:rFonts w:hint="eastAsia" w:ascii="仿宋_GB2312" w:hAnsi="仿宋_GB2312" w:eastAsia="仿宋_GB2312" w:cs="仿宋_GB2312"/>
          <w:kern w:val="0"/>
          <w:sz w:val="32"/>
          <w:szCs w:val="32"/>
          <w:lang w:val="en-US" w:eastAsia="zh-CN"/>
        </w:rPr>
        <w:t>0.00万元</w:t>
      </w:r>
      <w:r>
        <w:rPr>
          <w:rFonts w:hint="eastAsia" w:ascii="仿宋_GB2312" w:hAnsi="仿宋_GB2312" w:eastAsia="仿宋_GB2312" w:cs="仿宋_GB2312"/>
          <w:kern w:val="0"/>
          <w:sz w:val="32"/>
          <w:szCs w:val="32"/>
        </w:rPr>
        <w:t>，完成预算的</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；公务接待费全年预算</w:t>
      </w:r>
      <w:r>
        <w:rPr>
          <w:rFonts w:hint="eastAsia" w:ascii="仿宋_GB2312" w:hAnsi="仿宋_GB2312" w:eastAsia="仿宋_GB2312" w:cs="仿宋_GB2312"/>
          <w:kern w:val="0"/>
          <w:sz w:val="32"/>
          <w:szCs w:val="32"/>
          <w:lang w:val="en-US" w:eastAsia="zh-CN"/>
        </w:rPr>
        <w:t>0.00万元</w:t>
      </w:r>
      <w:r>
        <w:rPr>
          <w:rFonts w:hint="eastAsia" w:ascii="仿宋_GB2312" w:hAnsi="仿宋_GB2312" w:eastAsia="仿宋_GB2312" w:cs="仿宋_GB2312"/>
          <w:kern w:val="0"/>
          <w:sz w:val="32"/>
          <w:szCs w:val="32"/>
        </w:rPr>
        <w:t>，支出决算</w:t>
      </w:r>
      <w:r>
        <w:rPr>
          <w:rFonts w:hint="eastAsia" w:ascii="仿宋_GB2312" w:hAnsi="仿宋_GB2312" w:eastAsia="仿宋_GB2312" w:cs="仿宋_GB2312"/>
          <w:kern w:val="0"/>
          <w:sz w:val="32"/>
          <w:szCs w:val="32"/>
          <w:lang w:val="en-US" w:eastAsia="zh-CN"/>
        </w:rPr>
        <w:t>0.00万元</w:t>
      </w:r>
      <w:r>
        <w:rPr>
          <w:rFonts w:hint="eastAsia" w:ascii="仿宋_GB2312" w:hAnsi="仿宋_GB2312" w:eastAsia="仿宋_GB2312" w:cs="仿宋_GB2312"/>
          <w:kern w:val="0"/>
          <w:sz w:val="32"/>
          <w:szCs w:val="32"/>
        </w:rPr>
        <w:t>，完成预算的</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en-US"/>
        </w:rPr>
        <w:t>2025</w:t>
      </w:r>
      <w:r>
        <w:rPr>
          <w:rFonts w:hint="eastAsia" w:ascii="仿宋_GB2312" w:hAnsi="仿宋_GB2312" w:eastAsia="仿宋_GB2312" w:cs="仿宋_GB2312"/>
          <w:kern w:val="0"/>
          <w:sz w:val="32"/>
          <w:szCs w:val="32"/>
        </w:rPr>
        <w:t>年度一般公共预算财政拨款“三公”经费全年预算</w:t>
      </w:r>
      <w:r>
        <w:rPr>
          <w:rFonts w:hint="eastAsia" w:ascii="仿宋_GB2312" w:hAnsi="仿宋_GB2312" w:eastAsia="仿宋_GB2312" w:cs="仿宋_GB2312"/>
          <w:kern w:val="0"/>
          <w:sz w:val="32"/>
          <w:szCs w:val="32"/>
          <w:lang w:val="en-US" w:eastAsia="zh-CN"/>
        </w:rPr>
        <w:t>0.00万元</w:t>
      </w:r>
      <w:r>
        <w:rPr>
          <w:rFonts w:hint="eastAsia" w:ascii="仿宋_GB2312" w:hAnsi="仿宋_GB2312" w:eastAsia="仿宋_GB2312" w:cs="仿宋_GB2312"/>
          <w:kern w:val="0"/>
          <w:sz w:val="32"/>
          <w:szCs w:val="32"/>
        </w:rPr>
        <w:t>，支出决算</w:t>
      </w:r>
      <w:r>
        <w:rPr>
          <w:rFonts w:hint="eastAsia" w:ascii="仿宋_GB2312" w:hAnsi="仿宋_GB2312" w:eastAsia="仿宋_GB2312" w:cs="仿宋_GB2312"/>
          <w:kern w:val="0"/>
          <w:sz w:val="32"/>
          <w:szCs w:val="32"/>
          <w:lang w:val="en-US" w:eastAsia="zh-CN"/>
        </w:rPr>
        <w:t>0.00万元</w:t>
      </w:r>
      <w:r>
        <w:rPr>
          <w:rFonts w:hint="eastAsia" w:ascii="仿宋_GB2312" w:hAnsi="仿宋_GB2312" w:eastAsia="仿宋_GB2312" w:cs="仿宋_GB2312"/>
          <w:kern w:val="0"/>
          <w:sz w:val="32"/>
          <w:szCs w:val="32"/>
        </w:rPr>
        <w:t>，与预算差异原因</w:t>
      </w:r>
      <w:r>
        <w:rPr>
          <w:rFonts w:hint="eastAsia" w:ascii="仿宋_GB2312" w:hAnsi="仿宋_GB2312" w:eastAsia="仿宋_GB2312" w:cs="仿宋_GB2312"/>
          <w:kern w:val="0"/>
          <w:sz w:val="32"/>
          <w:szCs w:val="32"/>
          <w:lang w:eastAsia="zh-CN"/>
        </w:rPr>
        <w:t>：</w:t>
      </w:r>
      <w:r>
        <w:rPr>
          <w:rFonts w:hint="eastAsia" w:eastAsia="仿宋_GB2312" w:cs="Times New Roman"/>
          <w:kern w:val="0"/>
          <w:sz w:val="32"/>
          <w:szCs w:val="32"/>
          <w:lang w:eastAsia="zh-CN"/>
        </w:rPr>
        <w:t>支出决算数与年初预算数无差异</w:t>
      </w:r>
      <w:r>
        <w:rPr>
          <w:rFonts w:hint="eastAsia" w:ascii="仿宋_GB2312" w:hAnsi="仿宋_GB2312" w:eastAsia="仿宋_GB2312" w:cs="仿宋_GB2312"/>
          <w:kern w:val="0"/>
          <w:sz w:val="32"/>
          <w:szCs w:val="32"/>
        </w:rPr>
        <w:t>。</w:t>
      </w:r>
    </w:p>
    <w:p w14:paraId="0DB8ACEE">
      <w:pPr>
        <w:pStyle w:val="29"/>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auto"/>
        <w:rPr>
          <w:rFonts w:ascii="Times New Roman" w:hAnsi="Times New Roman" w:eastAsia="Times New Roman" w:cs="Times New Roman"/>
          <w:kern w:val="0"/>
          <w:sz w:val="24"/>
        </w:rPr>
      </w:pPr>
      <w:r>
        <w:rPr>
          <w:rFonts w:hint="eastAsia" w:ascii="楷体_GB2312" w:hAnsi="楷体_GB2312" w:eastAsia="楷体_GB2312" w:cs="楷体_GB2312"/>
          <w:b/>
          <w:bCs/>
          <w:kern w:val="0"/>
          <w:sz w:val="32"/>
          <w:szCs w:val="32"/>
        </w:rPr>
        <w:t>（二）财政拨款</w:t>
      </w:r>
      <w:r>
        <w:rPr>
          <w:rFonts w:hint="eastAsia" w:ascii="楷体_GB2312" w:hAnsi="楷体_GB2312" w:eastAsia="楷体_GB2312" w:cs="楷体_GB2312"/>
          <w:b/>
          <w:bCs/>
          <w:kern w:val="0"/>
          <w:sz w:val="32"/>
          <w:szCs w:val="32"/>
          <w:lang w:eastAsia="en-US"/>
        </w:rPr>
        <w:t>“</w:t>
      </w:r>
      <w:r>
        <w:rPr>
          <w:rFonts w:hint="eastAsia" w:ascii="楷体_GB2312" w:hAnsi="楷体_GB2312" w:eastAsia="楷体_GB2312" w:cs="楷体_GB2312"/>
          <w:b/>
          <w:bCs/>
          <w:kern w:val="0"/>
          <w:sz w:val="32"/>
          <w:szCs w:val="32"/>
        </w:rPr>
        <w:t>三公</w:t>
      </w:r>
      <w:r>
        <w:rPr>
          <w:rFonts w:hint="eastAsia" w:ascii="楷体_GB2312" w:hAnsi="楷体_GB2312" w:eastAsia="楷体_GB2312" w:cs="楷体_GB2312"/>
          <w:b/>
          <w:bCs/>
          <w:kern w:val="0"/>
          <w:sz w:val="32"/>
          <w:szCs w:val="32"/>
          <w:lang w:eastAsia="en-US"/>
        </w:rPr>
        <w:t>”</w:t>
      </w:r>
      <w:r>
        <w:rPr>
          <w:rFonts w:hint="eastAsia" w:ascii="楷体_GB2312" w:hAnsi="楷体_GB2312" w:eastAsia="楷体_GB2312" w:cs="楷体_GB2312"/>
          <w:b/>
          <w:bCs/>
          <w:kern w:val="0"/>
          <w:sz w:val="32"/>
          <w:szCs w:val="32"/>
        </w:rPr>
        <w:t>经费支出具体情况说明。</w:t>
      </w:r>
    </w:p>
    <w:p w14:paraId="4EDD3169">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内蒙古大兴安岭森林公安局北部原始林区分局</w:t>
      </w:r>
      <w:r>
        <w:rPr>
          <w:rFonts w:hint="eastAsia" w:ascii="仿宋_GB2312" w:hAnsi="仿宋_GB2312" w:eastAsia="仿宋_GB2312" w:cs="仿宋_GB2312"/>
          <w:kern w:val="0"/>
          <w:sz w:val="32"/>
          <w:szCs w:val="32"/>
          <w:lang w:eastAsia="en-US"/>
        </w:rPr>
        <w:t>2025</w:t>
      </w:r>
      <w:r>
        <w:rPr>
          <w:rFonts w:hint="eastAsia" w:ascii="仿宋_GB2312" w:hAnsi="仿宋_GB2312" w:eastAsia="仿宋_GB2312" w:cs="仿宋_GB2312"/>
          <w:kern w:val="0"/>
          <w:sz w:val="32"/>
          <w:szCs w:val="32"/>
        </w:rPr>
        <w:t>年度财政拨款“三公”经费支出</w:t>
      </w:r>
      <w:r>
        <w:rPr>
          <w:rFonts w:hint="eastAsia" w:ascii="仿宋_GB2312" w:hAnsi="仿宋_GB2312" w:eastAsia="仿宋_GB2312" w:cs="仿宋_GB2312"/>
          <w:kern w:val="0"/>
          <w:sz w:val="32"/>
          <w:szCs w:val="32"/>
          <w:lang w:val="en-US" w:eastAsia="zh-CN"/>
        </w:rPr>
        <w:t>0.00</w:t>
      </w:r>
      <w:r>
        <w:rPr>
          <w:rFonts w:hint="eastAsia" w:ascii="仿宋_GB2312" w:hAnsi="仿宋_GB2312" w:eastAsia="仿宋_GB2312" w:cs="仿宋_GB2312"/>
          <w:kern w:val="0"/>
          <w:sz w:val="32"/>
          <w:szCs w:val="32"/>
        </w:rPr>
        <w:t>万元。因公出国（境）费支出</w:t>
      </w:r>
      <w:r>
        <w:rPr>
          <w:rFonts w:hint="eastAsia" w:ascii="仿宋_GB2312" w:hAnsi="仿宋_GB2312" w:eastAsia="仿宋_GB2312" w:cs="仿宋_GB2312"/>
          <w:kern w:val="0"/>
          <w:sz w:val="32"/>
          <w:szCs w:val="32"/>
          <w:lang w:val="en-US" w:eastAsia="zh-CN"/>
        </w:rPr>
        <w:t>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lang w:val="en-US" w:eastAsia="zh-CN"/>
        </w:rPr>
        <w:t>0.00</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；公务用车购置及运行维护费支出</w:t>
      </w:r>
      <w:r>
        <w:rPr>
          <w:rFonts w:hint="eastAsia" w:ascii="仿宋_GB2312" w:hAnsi="仿宋_GB2312" w:eastAsia="仿宋_GB2312" w:cs="仿宋_GB2312"/>
          <w:kern w:val="0"/>
          <w:sz w:val="32"/>
          <w:szCs w:val="32"/>
          <w:lang w:val="en-US" w:eastAsia="zh-CN"/>
        </w:rPr>
        <w:t>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lang w:val="en-US" w:eastAsia="zh-CN"/>
        </w:rPr>
        <w:t>0.00</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；公务接待费支出</w:t>
      </w:r>
      <w:r>
        <w:rPr>
          <w:rFonts w:hint="eastAsia" w:ascii="仿宋_GB2312" w:hAnsi="仿宋_GB2312" w:eastAsia="仿宋_GB2312" w:cs="仿宋_GB2312"/>
          <w:kern w:val="0"/>
          <w:sz w:val="32"/>
          <w:szCs w:val="32"/>
          <w:lang w:val="en-US" w:eastAsia="zh-CN"/>
        </w:rPr>
        <w:t>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lang w:val="en-US" w:eastAsia="zh-CN"/>
        </w:rPr>
        <w:t>0.00</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。其中：</w:t>
      </w:r>
    </w:p>
    <w:p w14:paraId="4B42D8BC">
      <w:pPr>
        <w:pStyle w:val="29"/>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lang w:eastAsia="en-US"/>
        </w:rPr>
        <w:t>1.</w:t>
      </w:r>
      <w:r>
        <w:rPr>
          <w:rFonts w:hint="eastAsia" w:ascii="仿宋_GB2312" w:hAnsi="仿宋_GB2312" w:eastAsia="仿宋_GB2312" w:cs="仿宋_GB2312"/>
          <w:b/>
          <w:bCs/>
          <w:kern w:val="0"/>
          <w:sz w:val="32"/>
          <w:szCs w:val="32"/>
        </w:rPr>
        <w:t>因公出国（境）费支出</w:t>
      </w:r>
      <w:r>
        <w:rPr>
          <w:rFonts w:hint="eastAsia" w:ascii="仿宋_GB2312" w:hAnsi="仿宋_GB2312" w:eastAsia="仿宋_GB2312" w:cs="仿宋_GB2312"/>
          <w:b/>
          <w:bCs/>
          <w:kern w:val="0"/>
          <w:sz w:val="32"/>
          <w:szCs w:val="32"/>
          <w:lang w:val="en-US" w:eastAsia="zh-CN"/>
        </w:rPr>
        <w:t>0.00</w:t>
      </w:r>
      <w:r>
        <w:rPr>
          <w:rFonts w:hint="eastAsia" w:ascii="仿宋_GB2312" w:hAnsi="仿宋_GB2312" w:eastAsia="仿宋_GB2312" w:cs="仿宋_GB2312"/>
          <w:b/>
          <w:bCs/>
          <w:kern w:val="0"/>
          <w:sz w:val="32"/>
          <w:szCs w:val="32"/>
        </w:rPr>
        <w:t>万元</w:t>
      </w:r>
      <w:r>
        <w:rPr>
          <w:rFonts w:hint="eastAsia" w:ascii="仿宋_GB2312" w:hAnsi="仿宋_GB2312" w:eastAsia="仿宋_GB2312" w:cs="仿宋_GB2312"/>
          <w:b/>
          <w:bCs/>
          <w:kern w:val="0"/>
          <w:sz w:val="32"/>
          <w:szCs w:val="32"/>
          <w:lang w:eastAsia="zh-CN"/>
        </w:rPr>
        <w:t>。</w:t>
      </w:r>
      <w:r>
        <w:rPr>
          <w:rFonts w:hint="eastAsia" w:ascii="仿宋_GB2312" w:hAnsi="仿宋_GB2312" w:eastAsia="仿宋_GB2312" w:cs="仿宋_GB2312"/>
          <w:kern w:val="0"/>
          <w:sz w:val="32"/>
          <w:szCs w:val="32"/>
        </w:rPr>
        <w:t>全年出国（境）团组</w:t>
      </w:r>
      <w:r>
        <w:rPr>
          <w:rFonts w:hint="eastAsia" w:ascii="仿宋_GB2312" w:hAnsi="仿宋_GB2312" w:eastAsia="仿宋_GB2312" w:cs="仿宋_GB2312"/>
          <w:kern w:val="0"/>
          <w:sz w:val="32"/>
          <w:szCs w:val="32"/>
          <w:u w:val="none"/>
          <w:lang w:eastAsia="en-US"/>
        </w:rPr>
        <w:t>0</w:t>
      </w:r>
      <w:r>
        <w:rPr>
          <w:rFonts w:hint="eastAsia" w:ascii="仿宋_GB2312" w:hAnsi="仿宋_GB2312" w:eastAsia="仿宋_GB2312" w:cs="仿宋_GB2312"/>
          <w:kern w:val="0"/>
          <w:sz w:val="32"/>
          <w:szCs w:val="32"/>
        </w:rPr>
        <w:t>个，累计</w:t>
      </w:r>
      <w:r>
        <w:rPr>
          <w:rFonts w:hint="eastAsia" w:ascii="仿宋_GB2312" w:hAnsi="仿宋_GB2312" w:eastAsia="仿宋_GB2312" w:cs="仿宋_GB2312"/>
          <w:kern w:val="0"/>
          <w:sz w:val="32"/>
          <w:szCs w:val="32"/>
          <w:u w:val="none"/>
          <w:lang w:eastAsia="en-US"/>
        </w:rPr>
        <w:t>0</w:t>
      </w:r>
      <w:r>
        <w:rPr>
          <w:rFonts w:hint="eastAsia" w:ascii="仿宋_GB2312" w:hAnsi="仿宋_GB2312" w:eastAsia="仿宋_GB2312" w:cs="仿宋_GB2312"/>
          <w:kern w:val="0"/>
          <w:sz w:val="32"/>
          <w:szCs w:val="32"/>
        </w:rPr>
        <w:t>人次。与上年决算相比，增加</w:t>
      </w:r>
      <w:r>
        <w:rPr>
          <w:rFonts w:hint="eastAsia" w:ascii="仿宋_GB2312" w:hAnsi="仿宋_GB2312" w:eastAsia="仿宋_GB2312" w:cs="仿宋_GB2312"/>
          <w:kern w:val="0"/>
          <w:sz w:val="32"/>
          <w:szCs w:val="32"/>
          <w:lang w:val="en-US" w:eastAsia="zh-CN"/>
        </w:rPr>
        <w:t>0.00</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0.00</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，变动原因：</w:t>
      </w:r>
      <w:r>
        <w:rPr>
          <w:rFonts w:hint="eastAsia" w:eastAsia="仿宋_GB2312" w:cs="Times New Roman"/>
          <w:kern w:val="0"/>
          <w:sz w:val="32"/>
          <w:szCs w:val="32"/>
          <w:lang w:eastAsia="zh-CN"/>
        </w:rPr>
        <w:t>支出决算数与</w:t>
      </w:r>
      <w:r>
        <w:rPr>
          <w:rFonts w:hint="eastAsia" w:eastAsia="仿宋_GB2312" w:cs="Times New Roman"/>
          <w:kern w:val="0"/>
          <w:sz w:val="32"/>
          <w:szCs w:val="32"/>
          <w:lang w:val="en-US" w:eastAsia="zh-CN"/>
        </w:rPr>
        <w:t>上年决</w:t>
      </w:r>
      <w:r>
        <w:rPr>
          <w:rFonts w:hint="eastAsia" w:eastAsia="仿宋_GB2312" w:cs="Times New Roman"/>
          <w:kern w:val="0"/>
          <w:sz w:val="32"/>
          <w:szCs w:val="32"/>
          <w:lang w:eastAsia="zh-CN"/>
        </w:rPr>
        <w:t>算数无差异</w:t>
      </w:r>
      <w:r>
        <w:rPr>
          <w:rFonts w:hint="eastAsia" w:ascii="仿宋_GB2312" w:hAnsi="仿宋_GB2312" w:eastAsia="仿宋_GB2312" w:cs="仿宋_GB2312"/>
          <w:kern w:val="0"/>
          <w:sz w:val="32"/>
          <w:szCs w:val="32"/>
        </w:rPr>
        <w:t>。</w:t>
      </w:r>
    </w:p>
    <w:p w14:paraId="15887546">
      <w:pPr>
        <w:pStyle w:val="29"/>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lang w:eastAsia="en-US"/>
        </w:rPr>
        <w:t>2.</w:t>
      </w:r>
      <w:r>
        <w:rPr>
          <w:rFonts w:hint="eastAsia" w:ascii="仿宋_GB2312" w:hAnsi="仿宋_GB2312" w:eastAsia="仿宋_GB2312" w:cs="仿宋_GB2312"/>
          <w:b/>
          <w:bCs/>
          <w:kern w:val="0"/>
          <w:sz w:val="32"/>
          <w:szCs w:val="32"/>
        </w:rPr>
        <w:t>公务用车购置及运行维护费支出</w:t>
      </w:r>
      <w:r>
        <w:rPr>
          <w:rFonts w:hint="eastAsia" w:ascii="仿宋_GB2312" w:hAnsi="仿宋_GB2312" w:eastAsia="仿宋_GB2312" w:cs="仿宋_GB2312"/>
          <w:b/>
          <w:bCs/>
          <w:kern w:val="0"/>
          <w:sz w:val="32"/>
          <w:szCs w:val="32"/>
          <w:u w:val="none"/>
          <w:lang w:val="en-US" w:eastAsia="zh-CN"/>
        </w:rPr>
        <w:t>0.00</w:t>
      </w:r>
      <w:r>
        <w:rPr>
          <w:rFonts w:hint="eastAsia" w:ascii="仿宋_GB2312" w:hAnsi="仿宋_GB2312" w:eastAsia="仿宋_GB2312" w:cs="仿宋_GB2312"/>
          <w:b/>
          <w:bCs/>
          <w:kern w:val="0"/>
          <w:sz w:val="32"/>
          <w:szCs w:val="32"/>
        </w:rPr>
        <w:t>万元。</w:t>
      </w:r>
      <w:r>
        <w:rPr>
          <w:rFonts w:hint="eastAsia" w:ascii="仿宋_GB2312" w:hAnsi="仿宋_GB2312" w:eastAsia="仿宋_GB2312" w:cs="仿宋_GB2312"/>
          <w:kern w:val="0"/>
          <w:sz w:val="32"/>
          <w:szCs w:val="32"/>
        </w:rPr>
        <w:t>其中：</w:t>
      </w:r>
    </w:p>
    <w:p w14:paraId="1588079B">
      <w:pPr>
        <w:pStyle w:val="29"/>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w:t>
      </w:r>
      <w:r>
        <w:rPr>
          <w:rFonts w:hint="eastAsia" w:ascii="仿宋_GB2312" w:hAnsi="仿宋_GB2312" w:eastAsia="仿宋_GB2312" w:cs="仿宋_GB2312"/>
          <w:b/>
          <w:bCs/>
          <w:kern w:val="0"/>
          <w:sz w:val="32"/>
          <w:szCs w:val="32"/>
          <w:lang w:eastAsia="en-US"/>
        </w:rPr>
        <w:t>1</w:t>
      </w:r>
      <w:r>
        <w:rPr>
          <w:rFonts w:hint="eastAsia" w:ascii="仿宋_GB2312" w:hAnsi="仿宋_GB2312" w:eastAsia="仿宋_GB2312" w:cs="仿宋_GB2312"/>
          <w:b/>
          <w:bCs/>
          <w:kern w:val="0"/>
          <w:sz w:val="32"/>
          <w:szCs w:val="32"/>
        </w:rPr>
        <w:t>）公务用车购置支出</w:t>
      </w:r>
      <w:r>
        <w:rPr>
          <w:rFonts w:hint="eastAsia" w:ascii="仿宋_GB2312" w:hAnsi="仿宋_GB2312" w:eastAsia="仿宋_GB2312" w:cs="仿宋_GB2312"/>
          <w:b/>
          <w:bCs/>
          <w:kern w:val="0"/>
          <w:sz w:val="32"/>
          <w:szCs w:val="32"/>
          <w:lang w:val="en-US" w:eastAsia="zh-CN"/>
        </w:rPr>
        <w:t>0.00</w:t>
      </w:r>
      <w:r>
        <w:rPr>
          <w:rFonts w:hint="eastAsia" w:ascii="仿宋_GB2312" w:hAnsi="仿宋_GB2312" w:eastAsia="仿宋_GB2312" w:cs="仿宋_GB2312"/>
          <w:b/>
          <w:bCs/>
          <w:kern w:val="0"/>
          <w:sz w:val="32"/>
          <w:szCs w:val="32"/>
        </w:rPr>
        <w:t>万元。</w:t>
      </w:r>
      <w:r>
        <w:rPr>
          <w:rFonts w:hint="eastAsia" w:ascii="仿宋_GB2312" w:hAnsi="仿宋_GB2312" w:eastAsia="仿宋_GB2312" w:cs="仿宋_GB2312"/>
          <w:kern w:val="0"/>
          <w:sz w:val="32"/>
          <w:szCs w:val="32"/>
        </w:rPr>
        <w:t>本年度使用财政拨款购置公务用车</w:t>
      </w:r>
      <w:r>
        <w:rPr>
          <w:rFonts w:hint="eastAsia" w:ascii="仿宋_GB2312" w:hAnsi="仿宋_GB2312" w:eastAsia="仿宋_GB2312" w:cs="仿宋_GB2312"/>
          <w:kern w:val="0"/>
          <w:sz w:val="32"/>
          <w:szCs w:val="32"/>
          <w:u w:val="none"/>
          <w:lang w:eastAsia="en-US"/>
        </w:rPr>
        <w:t>0</w:t>
      </w:r>
      <w:r>
        <w:rPr>
          <w:rFonts w:hint="eastAsia" w:ascii="仿宋_GB2312" w:hAnsi="仿宋_GB2312" w:eastAsia="仿宋_GB2312" w:cs="仿宋_GB2312"/>
          <w:kern w:val="0"/>
          <w:sz w:val="32"/>
          <w:szCs w:val="32"/>
        </w:rPr>
        <w:t>辆，开支内容：</w:t>
      </w:r>
      <w:r>
        <w:rPr>
          <w:rFonts w:hint="default" w:ascii="仿宋_GB2312" w:hAnsi="黑体" w:eastAsia="仿宋_GB2312" w:cs="Times New Roman"/>
          <w:kern w:val="2"/>
          <w:sz w:val="32"/>
          <w:szCs w:val="32"/>
          <w:lang w:val="en-US" w:eastAsia="zh-CN" w:bidi="ar-SA"/>
        </w:rPr>
        <w:t>本</w:t>
      </w:r>
      <w:r>
        <w:rPr>
          <w:rFonts w:hint="eastAsia" w:ascii="仿宋_GB2312" w:hAnsi="黑体" w:eastAsia="仿宋_GB2312" w:cs="Times New Roman"/>
          <w:kern w:val="2"/>
          <w:sz w:val="32"/>
          <w:szCs w:val="32"/>
          <w:lang w:val="en-US" w:eastAsia="zh-CN" w:bidi="ar-SA"/>
        </w:rPr>
        <w:t>单位</w:t>
      </w:r>
      <w:r>
        <w:rPr>
          <w:rFonts w:hint="eastAsia" w:ascii="Times New Roman" w:hAnsi="Times New Roman" w:eastAsia="仿宋_GB2312" w:cs="Times New Roman"/>
          <w:kern w:val="2"/>
          <w:sz w:val="32"/>
          <w:szCs w:val="32"/>
          <w:lang w:val="en-US" w:eastAsia="zh-CN" w:bidi="ar-SA"/>
        </w:rPr>
        <w:t>202</w:t>
      </w:r>
      <w:r>
        <w:rPr>
          <w:rFonts w:hint="eastAsia" w:eastAsia="仿宋_GB2312" w:cs="Times New Roman"/>
          <w:kern w:val="2"/>
          <w:sz w:val="32"/>
          <w:szCs w:val="32"/>
          <w:lang w:val="en-US" w:eastAsia="zh-CN" w:bidi="ar-SA"/>
        </w:rPr>
        <w:t>5</w:t>
      </w:r>
      <w:r>
        <w:rPr>
          <w:rFonts w:hint="eastAsia" w:ascii="仿宋_GB2312" w:hAnsi="黑体" w:eastAsia="仿宋_GB2312" w:cs="Times New Roman"/>
          <w:kern w:val="2"/>
          <w:sz w:val="32"/>
          <w:szCs w:val="32"/>
          <w:lang w:val="en-US" w:eastAsia="zh-CN" w:bidi="ar-SA"/>
        </w:rPr>
        <w:t>年无</w:t>
      </w:r>
      <w:r>
        <w:rPr>
          <w:rFonts w:hint="default" w:ascii="仿宋_GB2312" w:hAnsi="黑体" w:eastAsia="仿宋_GB2312" w:cs="Times New Roman"/>
          <w:kern w:val="2"/>
          <w:sz w:val="32"/>
          <w:szCs w:val="32"/>
          <w:lang w:val="en-US" w:eastAsia="zh-CN" w:bidi="ar-SA"/>
        </w:rPr>
        <w:t>公务用车购置</w:t>
      </w:r>
      <w:r>
        <w:rPr>
          <w:rFonts w:hint="eastAsia" w:ascii="仿宋_GB2312" w:hAnsi="仿宋_GB2312" w:eastAsia="仿宋_GB2312" w:cs="仿宋_GB2312"/>
          <w:kern w:val="0"/>
          <w:sz w:val="32"/>
          <w:szCs w:val="32"/>
        </w:rPr>
        <w:t>。与上年决算相比，增加</w:t>
      </w:r>
      <w:r>
        <w:rPr>
          <w:rFonts w:hint="eastAsia" w:ascii="仿宋_GB2312" w:hAnsi="仿宋_GB2312" w:eastAsia="仿宋_GB2312" w:cs="仿宋_GB2312"/>
          <w:kern w:val="0"/>
          <w:sz w:val="32"/>
          <w:szCs w:val="32"/>
          <w:lang w:val="en-US" w:eastAsia="zh-CN"/>
        </w:rPr>
        <w:t>0.00</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0.00</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，变动原因：</w:t>
      </w:r>
      <w:r>
        <w:rPr>
          <w:rFonts w:hint="eastAsia" w:eastAsia="仿宋_GB2312" w:cs="Times New Roman"/>
          <w:kern w:val="0"/>
          <w:sz w:val="32"/>
          <w:szCs w:val="32"/>
          <w:lang w:eastAsia="zh-CN"/>
        </w:rPr>
        <w:t>支出决算数与</w:t>
      </w:r>
      <w:r>
        <w:rPr>
          <w:rFonts w:hint="eastAsia" w:eastAsia="仿宋_GB2312" w:cs="Times New Roman"/>
          <w:kern w:val="0"/>
          <w:sz w:val="32"/>
          <w:szCs w:val="32"/>
          <w:lang w:val="en-US" w:eastAsia="zh-CN"/>
        </w:rPr>
        <w:t>上年决</w:t>
      </w:r>
      <w:r>
        <w:rPr>
          <w:rFonts w:hint="eastAsia" w:eastAsia="仿宋_GB2312" w:cs="Times New Roman"/>
          <w:kern w:val="0"/>
          <w:sz w:val="32"/>
          <w:szCs w:val="32"/>
          <w:lang w:eastAsia="zh-CN"/>
        </w:rPr>
        <w:t>算数无差异</w:t>
      </w:r>
      <w:r>
        <w:rPr>
          <w:rFonts w:hint="eastAsia" w:ascii="仿宋_GB2312" w:hAnsi="仿宋_GB2312" w:eastAsia="仿宋_GB2312" w:cs="仿宋_GB2312"/>
          <w:kern w:val="0"/>
          <w:sz w:val="32"/>
          <w:szCs w:val="32"/>
        </w:rPr>
        <w:t>。</w:t>
      </w:r>
    </w:p>
    <w:p w14:paraId="7D6ADB9C">
      <w:pPr>
        <w:pStyle w:val="29"/>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w:t>
      </w:r>
      <w:r>
        <w:rPr>
          <w:rFonts w:hint="eastAsia" w:ascii="仿宋_GB2312" w:hAnsi="仿宋_GB2312" w:eastAsia="仿宋_GB2312" w:cs="仿宋_GB2312"/>
          <w:b/>
          <w:bCs/>
          <w:kern w:val="0"/>
          <w:sz w:val="32"/>
          <w:szCs w:val="32"/>
          <w:lang w:eastAsia="en-US"/>
        </w:rPr>
        <w:t>2</w:t>
      </w:r>
      <w:r>
        <w:rPr>
          <w:rFonts w:hint="eastAsia" w:ascii="仿宋_GB2312" w:hAnsi="仿宋_GB2312" w:eastAsia="仿宋_GB2312" w:cs="仿宋_GB2312"/>
          <w:b/>
          <w:bCs/>
          <w:kern w:val="0"/>
          <w:sz w:val="32"/>
          <w:szCs w:val="32"/>
        </w:rPr>
        <w:t>）公务用车运行维护费支出</w:t>
      </w:r>
      <w:r>
        <w:rPr>
          <w:rFonts w:hint="eastAsia" w:ascii="仿宋_GB2312" w:hAnsi="仿宋_GB2312" w:eastAsia="仿宋_GB2312" w:cs="仿宋_GB2312"/>
          <w:b/>
          <w:bCs/>
          <w:kern w:val="0"/>
          <w:sz w:val="32"/>
          <w:szCs w:val="32"/>
          <w:u w:val="none"/>
          <w:lang w:val="en-US" w:eastAsia="zh-CN"/>
        </w:rPr>
        <w:t>0.00</w:t>
      </w:r>
      <w:r>
        <w:rPr>
          <w:rFonts w:hint="eastAsia" w:ascii="仿宋_GB2312" w:hAnsi="仿宋_GB2312" w:eastAsia="仿宋_GB2312" w:cs="仿宋_GB2312"/>
          <w:b/>
          <w:bCs/>
          <w:kern w:val="0"/>
          <w:sz w:val="32"/>
          <w:szCs w:val="32"/>
        </w:rPr>
        <w:t>万元。</w:t>
      </w:r>
      <w:r>
        <w:rPr>
          <w:rFonts w:hint="eastAsia" w:ascii="仿宋_GB2312" w:hAnsi="仿宋_GB2312" w:eastAsia="仿宋_GB2312" w:cs="仿宋_GB2312"/>
          <w:kern w:val="0"/>
          <w:sz w:val="32"/>
          <w:szCs w:val="32"/>
        </w:rPr>
        <w:t>公务用车运行维护费主要用于按规定保留的公务用车的燃料费、</w:t>
      </w:r>
      <w:r>
        <w:rPr>
          <w:rFonts w:hint="eastAsia" w:ascii="仿宋_GB2312" w:hAnsi="仿宋_GB2312" w:eastAsia="仿宋_GB2312" w:cs="仿宋_GB2312"/>
          <w:color w:val="000000"/>
          <w:kern w:val="0"/>
          <w:sz w:val="32"/>
          <w:szCs w:val="32"/>
        </w:rPr>
        <w:t>新能源汽车充电费、</w:t>
      </w:r>
      <w:r>
        <w:rPr>
          <w:rFonts w:hint="eastAsia" w:ascii="仿宋_GB2312" w:hAnsi="仿宋_GB2312" w:eastAsia="仿宋_GB2312" w:cs="仿宋_GB2312"/>
          <w:kern w:val="0"/>
          <w:sz w:val="32"/>
          <w:szCs w:val="32"/>
        </w:rPr>
        <w:t>维修费、过桥过路费、保险费、安全奖励费用等支出。截至</w:t>
      </w:r>
      <w:r>
        <w:rPr>
          <w:rFonts w:hint="eastAsia" w:ascii="仿宋_GB2312" w:hAnsi="仿宋_GB2312" w:eastAsia="仿宋_GB2312" w:cs="仿宋_GB2312"/>
          <w:kern w:val="0"/>
          <w:sz w:val="32"/>
          <w:szCs w:val="32"/>
          <w:lang w:eastAsia="en-US"/>
        </w:rPr>
        <w:t>2025</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eastAsia="en-US"/>
        </w:rPr>
        <w:t>12</w:t>
      </w:r>
      <w:r>
        <w:rPr>
          <w:rFonts w:hint="eastAsia" w:ascii="仿宋_GB2312" w:hAnsi="仿宋_GB2312" w:eastAsia="仿宋_GB2312" w:cs="仿宋_GB2312"/>
          <w:kern w:val="0"/>
          <w:sz w:val="32"/>
          <w:szCs w:val="32"/>
        </w:rPr>
        <w:t>月</w:t>
      </w:r>
      <w:r>
        <w:rPr>
          <w:rFonts w:hint="eastAsia" w:ascii="仿宋_GB2312" w:hAnsi="仿宋_GB2312" w:eastAsia="仿宋_GB2312" w:cs="仿宋_GB2312"/>
          <w:kern w:val="0"/>
          <w:sz w:val="32"/>
          <w:szCs w:val="32"/>
          <w:lang w:eastAsia="en-US"/>
        </w:rPr>
        <w:t>31</w:t>
      </w:r>
      <w:r>
        <w:rPr>
          <w:rFonts w:hint="eastAsia" w:ascii="仿宋_GB2312" w:hAnsi="仿宋_GB2312" w:eastAsia="仿宋_GB2312" w:cs="仿宋_GB2312"/>
          <w:kern w:val="0"/>
          <w:sz w:val="32"/>
          <w:szCs w:val="32"/>
        </w:rPr>
        <w:t>日，使用财政拨款开支的公务用车保有量为</w:t>
      </w:r>
      <w:r>
        <w:rPr>
          <w:rFonts w:hint="eastAsia" w:ascii="仿宋_GB2312" w:hAnsi="仿宋_GB2312" w:eastAsia="仿宋_GB2312" w:cs="仿宋_GB2312"/>
          <w:kern w:val="0"/>
          <w:sz w:val="32"/>
          <w:szCs w:val="32"/>
          <w:u w:val="none"/>
          <w:lang w:eastAsia="en-US"/>
        </w:rPr>
        <w:t>0</w:t>
      </w:r>
      <w:r>
        <w:rPr>
          <w:rFonts w:hint="eastAsia" w:ascii="仿宋_GB2312" w:hAnsi="仿宋_GB2312" w:eastAsia="仿宋_GB2312" w:cs="仿宋_GB2312"/>
          <w:kern w:val="0"/>
          <w:sz w:val="32"/>
          <w:szCs w:val="32"/>
        </w:rPr>
        <w:t>辆。与上年决算相比，增加</w:t>
      </w:r>
      <w:r>
        <w:rPr>
          <w:rFonts w:hint="eastAsia" w:ascii="仿宋_GB2312" w:hAnsi="仿宋_GB2312" w:eastAsia="仿宋_GB2312" w:cs="仿宋_GB2312"/>
          <w:kern w:val="0"/>
          <w:sz w:val="32"/>
          <w:szCs w:val="32"/>
          <w:lang w:val="en-US" w:eastAsia="zh-CN"/>
        </w:rPr>
        <w:t>0.00</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0.00</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，变动原因：</w:t>
      </w:r>
      <w:r>
        <w:rPr>
          <w:rFonts w:hint="eastAsia" w:eastAsia="仿宋_GB2312" w:cs="Times New Roman"/>
          <w:kern w:val="0"/>
          <w:sz w:val="32"/>
          <w:szCs w:val="32"/>
          <w:lang w:eastAsia="zh-CN"/>
        </w:rPr>
        <w:t>支出决算数与</w:t>
      </w:r>
      <w:r>
        <w:rPr>
          <w:rFonts w:hint="eastAsia" w:eastAsia="仿宋_GB2312" w:cs="Times New Roman"/>
          <w:kern w:val="0"/>
          <w:sz w:val="32"/>
          <w:szCs w:val="32"/>
          <w:lang w:val="en-US" w:eastAsia="zh-CN"/>
        </w:rPr>
        <w:t>上年决</w:t>
      </w:r>
      <w:r>
        <w:rPr>
          <w:rFonts w:hint="eastAsia" w:eastAsia="仿宋_GB2312" w:cs="Times New Roman"/>
          <w:kern w:val="0"/>
          <w:sz w:val="32"/>
          <w:szCs w:val="32"/>
          <w:lang w:eastAsia="zh-CN"/>
        </w:rPr>
        <w:t>算数无差异</w:t>
      </w:r>
      <w:r>
        <w:rPr>
          <w:rFonts w:hint="eastAsia" w:ascii="仿宋_GB2312" w:hAnsi="仿宋_GB2312" w:eastAsia="仿宋_GB2312" w:cs="仿宋_GB2312"/>
          <w:kern w:val="0"/>
          <w:sz w:val="32"/>
          <w:szCs w:val="32"/>
        </w:rPr>
        <w:t>。</w:t>
      </w:r>
    </w:p>
    <w:p w14:paraId="5C1090EE">
      <w:pPr>
        <w:pStyle w:val="29"/>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auto"/>
        <w:rPr>
          <w:rFonts w:ascii="Times New Roman" w:hAnsi="Times New Roman" w:eastAsia="Times New Roman" w:cs="Times New Roman"/>
          <w:kern w:val="0"/>
          <w:sz w:val="24"/>
        </w:rPr>
      </w:pPr>
      <w:r>
        <w:rPr>
          <w:rFonts w:hint="eastAsia" w:ascii="仿宋_GB2312" w:hAnsi="仿宋_GB2312" w:eastAsia="仿宋_GB2312" w:cs="仿宋_GB2312"/>
          <w:b/>
          <w:bCs/>
          <w:kern w:val="0"/>
          <w:sz w:val="32"/>
          <w:szCs w:val="32"/>
          <w:lang w:eastAsia="en-US"/>
        </w:rPr>
        <w:t>3.</w:t>
      </w:r>
      <w:r>
        <w:rPr>
          <w:rFonts w:hint="eastAsia" w:ascii="仿宋_GB2312" w:hAnsi="仿宋_GB2312" w:eastAsia="仿宋_GB2312" w:cs="仿宋_GB2312"/>
          <w:b/>
          <w:bCs/>
          <w:kern w:val="0"/>
          <w:sz w:val="32"/>
          <w:szCs w:val="32"/>
        </w:rPr>
        <w:t>公务接待费支出</w:t>
      </w:r>
      <w:r>
        <w:rPr>
          <w:rFonts w:hint="eastAsia" w:ascii="仿宋_GB2312" w:hAnsi="仿宋_GB2312" w:eastAsia="仿宋_GB2312" w:cs="仿宋_GB2312"/>
          <w:b/>
          <w:bCs/>
          <w:kern w:val="0"/>
          <w:sz w:val="32"/>
          <w:szCs w:val="32"/>
          <w:u w:val="none"/>
          <w:lang w:val="en-US" w:eastAsia="zh-CN"/>
        </w:rPr>
        <w:t>0.00</w:t>
      </w:r>
      <w:r>
        <w:rPr>
          <w:rFonts w:hint="eastAsia" w:ascii="仿宋_GB2312" w:hAnsi="仿宋_GB2312" w:eastAsia="仿宋_GB2312" w:cs="仿宋_GB2312"/>
          <w:b/>
          <w:bCs/>
          <w:kern w:val="0"/>
          <w:sz w:val="32"/>
          <w:szCs w:val="32"/>
        </w:rPr>
        <w:t>万元。</w:t>
      </w:r>
      <w:r>
        <w:rPr>
          <w:rFonts w:hint="eastAsia" w:ascii="仿宋_GB2312" w:hAnsi="仿宋_GB2312" w:eastAsia="仿宋_GB2312" w:cs="仿宋_GB2312"/>
          <w:kern w:val="0"/>
          <w:sz w:val="32"/>
          <w:szCs w:val="32"/>
        </w:rPr>
        <w:t>其中：国内公务接待支出</w:t>
      </w:r>
      <w:r>
        <w:rPr>
          <w:rFonts w:hint="eastAsia" w:ascii="仿宋_GB2312" w:hAnsi="仿宋_GB2312" w:eastAsia="仿宋_GB2312" w:cs="仿宋_GB2312"/>
          <w:kern w:val="0"/>
          <w:sz w:val="32"/>
          <w:szCs w:val="32"/>
          <w:lang w:val="en-US" w:eastAsia="zh-CN"/>
        </w:rPr>
        <w:t>0.00</w:t>
      </w:r>
      <w:r>
        <w:rPr>
          <w:rFonts w:hint="eastAsia" w:ascii="仿宋_GB2312" w:hAnsi="仿宋_GB2312" w:eastAsia="仿宋_GB2312" w:cs="仿宋_GB2312"/>
          <w:kern w:val="0"/>
          <w:sz w:val="32"/>
          <w:szCs w:val="32"/>
        </w:rPr>
        <w:t>万元，接待</w:t>
      </w:r>
      <w:r>
        <w:rPr>
          <w:rFonts w:hint="eastAsia" w:ascii="仿宋_GB2312" w:hAnsi="仿宋_GB2312" w:eastAsia="仿宋_GB2312" w:cs="仿宋_GB2312"/>
          <w:kern w:val="0"/>
          <w:sz w:val="32"/>
          <w:szCs w:val="32"/>
          <w:u w:val="none"/>
          <w:lang w:eastAsia="en-US"/>
        </w:rPr>
        <w:t>0</w:t>
      </w:r>
      <w:r>
        <w:rPr>
          <w:rFonts w:hint="eastAsia" w:ascii="仿宋_GB2312" w:hAnsi="仿宋_GB2312" w:eastAsia="仿宋_GB2312" w:cs="仿宋_GB2312"/>
          <w:kern w:val="0"/>
          <w:sz w:val="32"/>
          <w:szCs w:val="32"/>
        </w:rPr>
        <w:t>批次，</w:t>
      </w:r>
      <w:r>
        <w:rPr>
          <w:rFonts w:hint="eastAsia" w:ascii="仿宋_GB2312" w:hAnsi="仿宋_GB2312" w:eastAsia="仿宋_GB2312" w:cs="仿宋_GB2312"/>
          <w:kern w:val="0"/>
          <w:sz w:val="32"/>
          <w:szCs w:val="32"/>
          <w:u w:val="none"/>
          <w:lang w:eastAsia="en-US"/>
        </w:rPr>
        <w:t>0</w:t>
      </w:r>
      <w:r>
        <w:rPr>
          <w:rFonts w:hint="eastAsia" w:ascii="仿宋_GB2312" w:hAnsi="仿宋_GB2312" w:eastAsia="仿宋_GB2312" w:cs="仿宋_GB2312"/>
          <w:kern w:val="0"/>
          <w:sz w:val="32"/>
          <w:szCs w:val="32"/>
        </w:rPr>
        <w:t>人次，开支内容：</w:t>
      </w:r>
      <w:r>
        <w:rPr>
          <w:rFonts w:hint="default" w:ascii="仿宋_GB2312" w:hAnsi="黑体" w:eastAsia="仿宋_GB2312" w:cs="Times New Roman"/>
          <w:kern w:val="2"/>
          <w:sz w:val="32"/>
          <w:szCs w:val="32"/>
          <w:lang w:val="en-US" w:eastAsia="zh-CN" w:bidi="ar-SA"/>
        </w:rPr>
        <w:t>本</w:t>
      </w:r>
      <w:r>
        <w:rPr>
          <w:rFonts w:hint="eastAsia" w:ascii="仿宋_GB2312" w:hAnsi="黑体" w:eastAsia="仿宋_GB2312" w:cs="Times New Roman"/>
          <w:kern w:val="2"/>
          <w:sz w:val="32"/>
          <w:szCs w:val="32"/>
          <w:lang w:val="en-US" w:eastAsia="zh-CN" w:bidi="ar-SA"/>
        </w:rPr>
        <w:t>单位</w:t>
      </w:r>
      <w:r>
        <w:rPr>
          <w:rFonts w:hint="eastAsia" w:ascii="Times New Roman" w:hAnsi="Times New Roman" w:eastAsia="仿宋_GB2312" w:cs="Times New Roman"/>
          <w:kern w:val="2"/>
          <w:sz w:val="32"/>
          <w:szCs w:val="32"/>
          <w:lang w:val="en-US" w:eastAsia="zh-CN" w:bidi="ar-SA"/>
        </w:rPr>
        <w:t>202</w:t>
      </w:r>
      <w:r>
        <w:rPr>
          <w:rFonts w:hint="eastAsia" w:eastAsia="仿宋_GB2312" w:cs="Times New Roman"/>
          <w:kern w:val="2"/>
          <w:sz w:val="32"/>
          <w:szCs w:val="32"/>
          <w:lang w:val="en-US" w:eastAsia="zh-CN" w:bidi="ar-SA"/>
        </w:rPr>
        <w:t>5</w:t>
      </w:r>
      <w:r>
        <w:rPr>
          <w:rFonts w:hint="eastAsia" w:ascii="仿宋_GB2312" w:hAnsi="黑体" w:eastAsia="仿宋_GB2312" w:cs="Times New Roman"/>
          <w:kern w:val="2"/>
          <w:sz w:val="32"/>
          <w:szCs w:val="32"/>
          <w:lang w:val="en-US" w:eastAsia="zh-CN" w:bidi="ar-SA"/>
        </w:rPr>
        <w:t>年无</w:t>
      </w:r>
      <w:r>
        <w:rPr>
          <w:rFonts w:hint="default" w:ascii="仿宋_GB2312" w:hAnsi="黑体" w:eastAsia="仿宋_GB2312" w:cs="Times New Roman"/>
          <w:kern w:val="2"/>
          <w:sz w:val="32"/>
          <w:szCs w:val="32"/>
          <w:lang w:val="en-US" w:eastAsia="zh-CN" w:bidi="ar-SA"/>
        </w:rPr>
        <w:t>国内公务接待</w:t>
      </w:r>
      <w:r>
        <w:rPr>
          <w:rFonts w:hint="eastAsia" w:ascii="仿宋_GB2312" w:hAnsi="仿宋_GB2312" w:eastAsia="仿宋_GB2312" w:cs="仿宋_GB2312"/>
          <w:kern w:val="0"/>
          <w:sz w:val="32"/>
          <w:szCs w:val="32"/>
        </w:rPr>
        <w:t>；国（境）外公务接待支出</w:t>
      </w:r>
      <w:r>
        <w:rPr>
          <w:rFonts w:hint="eastAsia" w:ascii="仿宋_GB2312" w:hAnsi="仿宋_GB2312" w:eastAsia="仿宋_GB2312" w:cs="仿宋_GB2312"/>
          <w:kern w:val="0"/>
          <w:sz w:val="32"/>
          <w:szCs w:val="32"/>
          <w:lang w:val="en-US" w:eastAsia="zh-CN"/>
        </w:rPr>
        <w:t>0.00</w:t>
      </w:r>
      <w:r>
        <w:rPr>
          <w:rFonts w:hint="eastAsia" w:ascii="仿宋_GB2312" w:hAnsi="仿宋_GB2312" w:eastAsia="仿宋_GB2312" w:cs="仿宋_GB2312"/>
          <w:kern w:val="0"/>
          <w:sz w:val="32"/>
          <w:szCs w:val="32"/>
        </w:rPr>
        <w:t>万元，接待</w:t>
      </w:r>
      <w:r>
        <w:rPr>
          <w:rFonts w:hint="eastAsia" w:ascii="仿宋_GB2312" w:hAnsi="仿宋_GB2312" w:eastAsia="仿宋_GB2312" w:cs="仿宋_GB2312"/>
          <w:kern w:val="0"/>
          <w:sz w:val="32"/>
          <w:szCs w:val="32"/>
          <w:u w:val="none"/>
          <w:lang w:eastAsia="en-US"/>
        </w:rPr>
        <w:t>0</w:t>
      </w:r>
      <w:r>
        <w:rPr>
          <w:rFonts w:hint="eastAsia" w:ascii="仿宋_GB2312" w:hAnsi="仿宋_GB2312" w:eastAsia="仿宋_GB2312" w:cs="仿宋_GB2312"/>
          <w:kern w:val="0"/>
          <w:sz w:val="32"/>
          <w:szCs w:val="32"/>
        </w:rPr>
        <w:t>批次，</w:t>
      </w:r>
      <w:r>
        <w:rPr>
          <w:rFonts w:hint="eastAsia" w:ascii="仿宋_GB2312" w:hAnsi="仿宋_GB2312" w:eastAsia="仿宋_GB2312" w:cs="仿宋_GB2312"/>
          <w:kern w:val="0"/>
          <w:sz w:val="32"/>
          <w:szCs w:val="32"/>
          <w:u w:val="none"/>
          <w:lang w:eastAsia="en-US"/>
        </w:rPr>
        <w:t>0</w:t>
      </w:r>
      <w:r>
        <w:rPr>
          <w:rFonts w:hint="eastAsia" w:ascii="仿宋_GB2312" w:hAnsi="仿宋_GB2312" w:eastAsia="仿宋_GB2312" w:cs="仿宋_GB2312"/>
          <w:kern w:val="0"/>
          <w:sz w:val="32"/>
          <w:szCs w:val="32"/>
        </w:rPr>
        <w:t>人次，开支内容：</w:t>
      </w:r>
      <w:r>
        <w:rPr>
          <w:rFonts w:hint="default" w:ascii="仿宋_GB2312" w:hAnsi="黑体" w:eastAsia="仿宋_GB2312" w:cs="Times New Roman"/>
          <w:kern w:val="2"/>
          <w:sz w:val="32"/>
          <w:szCs w:val="32"/>
          <w:lang w:val="en-US" w:eastAsia="zh-CN" w:bidi="ar-SA"/>
        </w:rPr>
        <w:t>本</w:t>
      </w:r>
      <w:r>
        <w:rPr>
          <w:rFonts w:hint="eastAsia" w:ascii="仿宋_GB2312" w:hAnsi="黑体" w:eastAsia="仿宋_GB2312" w:cs="Times New Roman"/>
          <w:kern w:val="2"/>
          <w:sz w:val="32"/>
          <w:szCs w:val="32"/>
          <w:lang w:val="en-US" w:eastAsia="zh-CN" w:bidi="ar-SA"/>
        </w:rPr>
        <w:t>单位</w:t>
      </w:r>
      <w:r>
        <w:rPr>
          <w:rFonts w:hint="eastAsia" w:ascii="Times New Roman" w:hAnsi="Times New Roman" w:eastAsia="仿宋_GB2312" w:cs="Times New Roman"/>
          <w:kern w:val="2"/>
          <w:sz w:val="32"/>
          <w:szCs w:val="32"/>
          <w:lang w:val="en-US" w:eastAsia="zh-CN" w:bidi="ar-SA"/>
        </w:rPr>
        <w:t>202</w:t>
      </w:r>
      <w:r>
        <w:rPr>
          <w:rFonts w:hint="eastAsia" w:eastAsia="仿宋_GB2312" w:cs="Times New Roman"/>
          <w:kern w:val="2"/>
          <w:sz w:val="32"/>
          <w:szCs w:val="32"/>
          <w:lang w:val="en-US" w:eastAsia="zh-CN" w:bidi="ar-SA"/>
        </w:rPr>
        <w:t>5</w:t>
      </w:r>
      <w:r>
        <w:rPr>
          <w:rFonts w:hint="eastAsia" w:ascii="仿宋_GB2312" w:hAnsi="黑体" w:eastAsia="仿宋_GB2312" w:cs="Times New Roman"/>
          <w:kern w:val="2"/>
          <w:sz w:val="32"/>
          <w:szCs w:val="32"/>
          <w:lang w:val="en-US" w:eastAsia="zh-CN" w:bidi="ar-SA"/>
        </w:rPr>
        <w:t>年无国（境）外公务接待</w:t>
      </w:r>
      <w:r>
        <w:rPr>
          <w:rFonts w:hint="eastAsia" w:ascii="仿宋_GB2312" w:hAnsi="仿宋_GB2312" w:eastAsia="仿宋_GB2312" w:cs="仿宋_GB2312"/>
          <w:kern w:val="0"/>
          <w:sz w:val="32"/>
          <w:szCs w:val="32"/>
        </w:rPr>
        <w:t>。与上年决算相比，增加</w:t>
      </w:r>
      <w:r>
        <w:rPr>
          <w:rFonts w:hint="eastAsia" w:ascii="仿宋_GB2312" w:hAnsi="仿宋_GB2312" w:eastAsia="仿宋_GB2312" w:cs="仿宋_GB2312"/>
          <w:kern w:val="0"/>
          <w:sz w:val="32"/>
          <w:szCs w:val="32"/>
          <w:lang w:val="en-US" w:eastAsia="zh-CN"/>
        </w:rPr>
        <w:t>0.00</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0.00</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，变动原因：</w:t>
      </w:r>
      <w:r>
        <w:rPr>
          <w:rFonts w:hint="eastAsia" w:eastAsia="仿宋_GB2312" w:cs="Times New Roman"/>
          <w:kern w:val="0"/>
          <w:sz w:val="32"/>
          <w:szCs w:val="32"/>
          <w:lang w:eastAsia="zh-CN"/>
        </w:rPr>
        <w:t>支出决算数与</w:t>
      </w:r>
      <w:r>
        <w:rPr>
          <w:rFonts w:hint="eastAsia" w:eastAsia="仿宋_GB2312" w:cs="Times New Roman"/>
          <w:kern w:val="0"/>
          <w:sz w:val="32"/>
          <w:szCs w:val="32"/>
          <w:lang w:val="en-US" w:eastAsia="zh-CN"/>
        </w:rPr>
        <w:t>上年决</w:t>
      </w:r>
      <w:r>
        <w:rPr>
          <w:rFonts w:hint="eastAsia" w:eastAsia="仿宋_GB2312" w:cs="Times New Roman"/>
          <w:kern w:val="0"/>
          <w:sz w:val="32"/>
          <w:szCs w:val="32"/>
          <w:lang w:eastAsia="zh-CN"/>
        </w:rPr>
        <w:t>算数无差异</w:t>
      </w:r>
      <w:r>
        <w:rPr>
          <w:rFonts w:hint="eastAsia" w:ascii="仿宋_GB2312" w:hAnsi="仿宋_GB2312" w:eastAsia="仿宋_GB2312" w:cs="仿宋_GB2312"/>
          <w:kern w:val="0"/>
          <w:sz w:val="32"/>
          <w:szCs w:val="32"/>
        </w:rPr>
        <w:t>。</w:t>
      </w:r>
    </w:p>
    <w:p w14:paraId="13AAF32D">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Times New Roman" w:cs="Times New Roman"/>
          <w:kern w:val="0"/>
          <w:sz w:val="24"/>
        </w:rPr>
      </w:pPr>
      <w:r>
        <w:rPr>
          <w:rFonts w:ascii="黑体" w:hAnsi="黑体" w:eastAsia="黑体" w:cs="黑体"/>
          <w:b w:val="0"/>
          <w:bCs w:val="0"/>
          <w:kern w:val="0"/>
          <w:sz w:val="32"/>
          <w:szCs w:val="32"/>
        </w:rPr>
        <w:t>九、政府性基金预算财政拨款支出决算情况说明</w:t>
      </w:r>
    </w:p>
    <w:p w14:paraId="66A7BE16">
      <w:pPr>
        <w:pStyle w:val="29"/>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内蒙古大兴安岭森林公安局北部原始林区分局</w:t>
      </w:r>
      <w:r>
        <w:rPr>
          <w:rFonts w:hint="eastAsia" w:ascii="仿宋_GB2312" w:hAnsi="仿宋_GB2312" w:eastAsia="仿宋_GB2312" w:cs="仿宋_GB2312"/>
          <w:kern w:val="0"/>
          <w:sz w:val="32"/>
          <w:szCs w:val="32"/>
          <w:lang w:eastAsia="en-US"/>
        </w:rPr>
        <w:t>2025</w:t>
      </w:r>
      <w:r>
        <w:rPr>
          <w:rFonts w:hint="eastAsia" w:ascii="仿宋_GB2312" w:hAnsi="仿宋_GB2312" w:eastAsia="仿宋_GB2312" w:cs="仿宋_GB2312"/>
          <w:kern w:val="0"/>
          <w:sz w:val="32"/>
          <w:szCs w:val="32"/>
        </w:rPr>
        <w:t>年度政府性基金预算财政拨款支出决算</w:t>
      </w:r>
      <w:r>
        <w:rPr>
          <w:rFonts w:hint="eastAsia" w:ascii="仿宋_GB2312" w:hAnsi="仿宋_GB2312" w:eastAsia="仿宋_GB2312" w:cs="仿宋_GB2312"/>
          <w:kern w:val="0"/>
          <w:sz w:val="32"/>
          <w:szCs w:val="32"/>
          <w:lang w:val="en-US" w:eastAsia="zh-CN"/>
        </w:rPr>
        <w:t>0.00</w:t>
      </w:r>
      <w:r>
        <w:rPr>
          <w:rFonts w:hint="eastAsia" w:ascii="仿宋_GB2312" w:hAnsi="仿宋_GB2312" w:eastAsia="仿宋_GB2312" w:cs="仿宋_GB2312"/>
          <w:kern w:val="0"/>
          <w:sz w:val="32"/>
          <w:szCs w:val="32"/>
        </w:rPr>
        <w:t>万元。与上年决算相比，增加</w:t>
      </w:r>
      <w:r>
        <w:rPr>
          <w:rFonts w:hint="eastAsia" w:ascii="仿宋_GB2312" w:hAnsi="仿宋_GB2312" w:eastAsia="仿宋_GB2312" w:cs="仿宋_GB2312"/>
          <w:kern w:val="0"/>
          <w:sz w:val="32"/>
          <w:szCs w:val="32"/>
          <w:lang w:val="en-US" w:eastAsia="zh-CN"/>
        </w:rPr>
        <w:t>0.00</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0.00</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，变动原因：本年无政府性基金预算财政拨款收、支、余。</w:t>
      </w:r>
    </w:p>
    <w:p w14:paraId="2FDAE4AE">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Times New Roman" w:cs="Times New Roman"/>
          <w:kern w:val="0"/>
          <w:sz w:val="24"/>
        </w:rPr>
      </w:pPr>
      <w:r>
        <w:rPr>
          <w:rFonts w:ascii="黑体" w:hAnsi="黑体" w:eastAsia="黑体" w:cs="黑体"/>
          <w:b w:val="0"/>
          <w:bCs w:val="0"/>
          <w:kern w:val="0"/>
          <w:sz w:val="32"/>
          <w:szCs w:val="32"/>
        </w:rPr>
        <w:t>十、国有资本经营预算财政拨款支出决算情况说明</w:t>
      </w:r>
    </w:p>
    <w:p w14:paraId="047E95B1">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仿宋" w:hAnsi="仿宋" w:eastAsia="仿宋" w:cs="仿宋"/>
          <w:kern w:val="0"/>
          <w:sz w:val="32"/>
          <w:szCs w:val="32"/>
        </w:rPr>
      </w:pPr>
      <w:r>
        <w:rPr>
          <w:rFonts w:hint="eastAsia" w:ascii="仿宋_GB2312" w:hAnsi="仿宋_GB2312" w:eastAsia="仿宋_GB2312" w:cs="仿宋_GB2312"/>
          <w:kern w:val="0"/>
          <w:sz w:val="32"/>
          <w:szCs w:val="32"/>
        </w:rPr>
        <w:t>内蒙古大兴安岭森林公安局北部原始林区分局</w:t>
      </w:r>
      <w:r>
        <w:rPr>
          <w:rFonts w:hint="eastAsia" w:ascii="仿宋_GB2312" w:hAnsi="仿宋_GB2312" w:eastAsia="仿宋_GB2312" w:cs="仿宋_GB2312"/>
          <w:kern w:val="0"/>
          <w:sz w:val="32"/>
          <w:szCs w:val="32"/>
          <w:lang w:eastAsia="en-US"/>
        </w:rPr>
        <w:t>2025</w:t>
      </w:r>
      <w:r>
        <w:rPr>
          <w:rFonts w:hint="eastAsia" w:ascii="仿宋_GB2312" w:hAnsi="仿宋_GB2312" w:eastAsia="仿宋_GB2312" w:cs="仿宋_GB2312"/>
          <w:kern w:val="0"/>
          <w:sz w:val="32"/>
          <w:szCs w:val="32"/>
        </w:rPr>
        <w:t>年度国有资本经营预算财政拨款支出决算</w:t>
      </w:r>
      <w:r>
        <w:rPr>
          <w:rFonts w:hint="eastAsia" w:ascii="仿宋_GB2312" w:hAnsi="仿宋_GB2312" w:eastAsia="仿宋_GB2312" w:cs="仿宋_GB2312"/>
          <w:kern w:val="0"/>
          <w:sz w:val="32"/>
          <w:szCs w:val="32"/>
          <w:lang w:val="en-US" w:eastAsia="zh-CN"/>
        </w:rPr>
        <w:t>0.00</w:t>
      </w:r>
      <w:r>
        <w:rPr>
          <w:rFonts w:hint="eastAsia" w:ascii="仿宋_GB2312" w:hAnsi="仿宋_GB2312" w:eastAsia="仿宋_GB2312" w:cs="仿宋_GB2312"/>
          <w:kern w:val="0"/>
          <w:sz w:val="32"/>
          <w:szCs w:val="32"/>
        </w:rPr>
        <w:t>万元。与上年决算相比，增加</w:t>
      </w:r>
      <w:r>
        <w:rPr>
          <w:rFonts w:hint="eastAsia" w:ascii="仿宋_GB2312" w:hAnsi="仿宋_GB2312" w:eastAsia="仿宋_GB2312" w:cs="仿宋_GB2312"/>
          <w:kern w:val="0"/>
          <w:sz w:val="32"/>
          <w:szCs w:val="32"/>
          <w:lang w:val="en-US" w:eastAsia="zh-CN"/>
        </w:rPr>
        <w:t>0.00</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0.00</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，变动原因：本年无国有资本经营预算财政拨款收、支、余。</w:t>
      </w:r>
    </w:p>
    <w:p w14:paraId="2BEA7CFA">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Times New Roman" w:cs="Times New Roman"/>
          <w:kern w:val="0"/>
          <w:sz w:val="24"/>
        </w:rPr>
      </w:pPr>
      <w:r>
        <w:rPr>
          <w:rFonts w:ascii="黑体" w:hAnsi="黑体" w:eastAsia="黑体" w:cs="黑体"/>
          <w:b w:val="0"/>
          <w:bCs w:val="0"/>
          <w:kern w:val="0"/>
          <w:sz w:val="32"/>
          <w:szCs w:val="32"/>
        </w:rPr>
        <w:t>十一、机关运行经费（公用经费）支出决算情况说明</w:t>
      </w:r>
    </w:p>
    <w:p w14:paraId="22E091D9">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Times New Roman" w:cs="Times New Roman"/>
          <w:kern w:val="0"/>
          <w:sz w:val="24"/>
        </w:rPr>
      </w:pPr>
      <w:r>
        <w:rPr>
          <w:rFonts w:hint="eastAsia" w:ascii="仿宋_GB2312" w:hAnsi="仿宋_GB2312" w:eastAsia="仿宋_GB2312" w:cs="仿宋_GB2312"/>
          <w:kern w:val="0"/>
          <w:sz w:val="32"/>
          <w:szCs w:val="32"/>
        </w:rPr>
        <w:t>内蒙古大兴安岭森林公安局北部原始林区分局</w:t>
      </w:r>
      <w:r>
        <w:rPr>
          <w:rFonts w:hint="eastAsia" w:ascii="仿宋_GB2312" w:hAnsi="仿宋_GB2312" w:eastAsia="仿宋_GB2312" w:cs="仿宋_GB2312"/>
          <w:kern w:val="0"/>
          <w:sz w:val="32"/>
          <w:szCs w:val="32"/>
          <w:lang w:eastAsia="en-US"/>
        </w:rPr>
        <w:t>2025</w:t>
      </w:r>
      <w:r>
        <w:rPr>
          <w:rFonts w:hint="eastAsia" w:ascii="仿宋_GB2312" w:hAnsi="仿宋_GB2312" w:eastAsia="仿宋_GB2312" w:cs="仿宋_GB2312"/>
          <w:kern w:val="0"/>
          <w:sz w:val="32"/>
          <w:szCs w:val="32"/>
        </w:rPr>
        <w:t>年度公用经费支出决算</w:t>
      </w:r>
      <w:r>
        <w:rPr>
          <w:rFonts w:hint="eastAsia" w:ascii="仿宋_GB2312" w:hAnsi="仿宋_GB2312" w:eastAsia="仿宋_GB2312" w:cs="仿宋_GB2312"/>
          <w:kern w:val="0"/>
          <w:sz w:val="32"/>
          <w:szCs w:val="32"/>
          <w:u w:val="none"/>
          <w:lang w:eastAsia="en-US"/>
        </w:rPr>
        <w:t>237.97</w:t>
      </w:r>
      <w:r>
        <w:rPr>
          <w:rFonts w:hint="eastAsia" w:ascii="仿宋_GB2312" w:hAnsi="仿宋_GB2312" w:eastAsia="仿宋_GB2312" w:cs="仿宋_GB2312"/>
          <w:kern w:val="0"/>
          <w:sz w:val="32"/>
          <w:szCs w:val="32"/>
        </w:rPr>
        <w:t>万元，与上年决算相比，增加</w:t>
      </w:r>
      <w:r>
        <w:rPr>
          <w:rFonts w:hint="eastAsia" w:ascii="仿宋_GB2312" w:hAnsi="仿宋_GB2312" w:eastAsia="仿宋_GB2312" w:cs="仿宋_GB2312"/>
          <w:kern w:val="0"/>
          <w:sz w:val="32"/>
          <w:szCs w:val="32"/>
          <w:u w:val="none"/>
          <w:lang w:eastAsia="en-US"/>
        </w:rPr>
        <w:t>5.02</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u w:val="none"/>
          <w:lang w:eastAsia="en-US"/>
        </w:rPr>
        <w:t>2.16</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，变动原因：</w:t>
      </w:r>
      <w:r>
        <w:rPr>
          <w:rFonts w:hint="eastAsia" w:ascii="仿宋_GB2312" w:hAnsi="仿宋_GB2312" w:eastAsia="仿宋_GB2312" w:cs="仿宋_GB2312"/>
          <w:kern w:val="2"/>
          <w:sz w:val="32"/>
          <w:szCs w:val="32"/>
          <w:lang w:val="en-US" w:eastAsia="zh-CN" w:bidi="ar-SA"/>
        </w:rPr>
        <w:t>公用经费部分计提基数发生调整，导致经费增加</w:t>
      </w:r>
      <w:r>
        <w:rPr>
          <w:rFonts w:hint="eastAsia" w:ascii="仿宋_GB2312" w:hAnsi="仿宋_GB2312" w:eastAsia="仿宋_GB2312" w:cs="仿宋_GB2312"/>
          <w:kern w:val="0"/>
          <w:sz w:val="32"/>
          <w:szCs w:val="32"/>
        </w:rPr>
        <w:t>。其中，机关运行经费支出决算</w:t>
      </w:r>
      <w:r>
        <w:rPr>
          <w:rFonts w:hint="eastAsia" w:ascii="仿宋_GB2312" w:hAnsi="仿宋_GB2312" w:eastAsia="仿宋_GB2312" w:cs="仿宋_GB2312"/>
          <w:kern w:val="0"/>
          <w:sz w:val="32"/>
          <w:szCs w:val="32"/>
          <w:u w:val="none"/>
          <w:lang w:eastAsia="en-US"/>
        </w:rPr>
        <w:t>237.97</w:t>
      </w:r>
      <w:r>
        <w:rPr>
          <w:rFonts w:hint="eastAsia" w:ascii="仿宋_GB2312" w:hAnsi="仿宋_GB2312" w:eastAsia="仿宋_GB2312" w:cs="仿宋_GB2312"/>
          <w:kern w:val="0"/>
          <w:sz w:val="32"/>
          <w:szCs w:val="32"/>
        </w:rPr>
        <w:t>万元。比上年决算相比，增加</w:t>
      </w:r>
      <w:r>
        <w:rPr>
          <w:rFonts w:hint="eastAsia" w:ascii="仿宋_GB2312" w:hAnsi="仿宋_GB2312" w:eastAsia="仿宋_GB2312" w:cs="仿宋_GB2312"/>
          <w:kern w:val="0"/>
          <w:sz w:val="32"/>
          <w:szCs w:val="32"/>
          <w:u w:val="none"/>
          <w:lang w:eastAsia="en-US"/>
        </w:rPr>
        <w:t>5.02</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u w:val="none"/>
          <w:lang w:eastAsia="en-US"/>
        </w:rPr>
        <w:t>2.16</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，变动原因：</w:t>
      </w:r>
      <w:r>
        <w:rPr>
          <w:rFonts w:hint="eastAsia" w:ascii="仿宋_GB2312" w:hAnsi="仿宋_GB2312" w:eastAsia="仿宋_GB2312" w:cs="仿宋_GB2312"/>
          <w:kern w:val="2"/>
          <w:sz w:val="32"/>
          <w:szCs w:val="32"/>
          <w:lang w:val="en-US" w:eastAsia="zh-CN" w:bidi="ar-SA"/>
        </w:rPr>
        <w:t>公用经费部分计提基数发生调整，导致经费增加</w:t>
      </w:r>
      <w:r>
        <w:rPr>
          <w:rFonts w:hint="eastAsia" w:ascii="仿宋_GB2312" w:hAnsi="仿宋_GB2312" w:eastAsia="仿宋_GB2312" w:cs="仿宋_GB2312"/>
          <w:kern w:val="0"/>
          <w:sz w:val="32"/>
          <w:szCs w:val="32"/>
        </w:rPr>
        <w:t>。</w:t>
      </w:r>
    </w:p>
    <w:p w14:paraId="2E55CF08">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Times New Roman" w:cs="Times New Roman"/>
          <w:kern w:val="0"/>
          <w:sz w:val="24"/>
        </w:rPr>
      </w:pPr>
      <w:r>
        <w:rPr>
          <w:rFonts w:ascii="黑体" w:hAnsi="黑体" w:eastAsia="黑体" w:cs="黑体"/>
          <w:b w:val="0"/>
          <w:bCs w:val="0"/>
          <w:kern w:val="0"/>
          <w:sz w:val="32"/>
          <w:szCs w:val="32"/>
        </w:rPr>
        <w:t>十二、政府采购支出决算情况说明</w:t>
      </w:r>
    </w:p>
    <w:p w14:paraId="7D17D96F">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Times New Roman" w:cs="Times New Roman"/>
          <w:kern w:val="0"/>
          <w:sz w:val="24"/>
        </w:rPr>
      </w:pPr>
      <w:r>
        <w:rPr>
          <w:rFonts w:hint="eastAsia" w:ascii="仿宋_GB2312" w:hAnsi="仿宋_GB2312" w:eastAsia="仿宋_GB2312" w:cs="仿宋_GB2312"/>
          <w:kern w:val="0"/>
          <w:sz w:val="32"/>
          <w:szCs w:val="32"/>
        </w:rPr>
        <w:t>内蒙古大兴安岭森林公安局北部原始林区分局</w:t>
      </w:r>
      <w:r>
        <w:rPr>
          <w:rFonts w:hint="eastAsia" w:ascii="仿宋_GB2312" w:hAnsi="仿宋_GB2312" w:eastAsia="仿宋_GB2312" w:cs="仿宋_GB2312"/>
          <w:kern w:val="0"/>
          <w:sz w:val="32"/>
          <w:szCs w:val="32"/>
          <w:lang w:eastAsia="en-US"/>
        </w:rPr>
        <w:t>2025</w:t>
      </w:r>
      <w:r>
        <w:rPr>
          <w:rFonts w:hint="eastAsia" w:ascii="仿宋_GB2312" w:hAnsi="仿宋_GB2312" w:eastAsia="仿宋_GB2312" w:cs="仿宋_GB2312"/>
          <w:kern w:val="0"/>
          <w:sz w:val="32"/>
          <w:szCs w:val="32"/>
        </w:rPr>
        <w:t>年度政府采购支出总额</w:t>
      </w:r>
      <w:r>
        <w:rPr>
          <w:rFonts w:hint="eastAsia" w:ascii="仿宋_GB2312" w:hAnsi="仿宋_GB2312" w:eastAsia="仿宋_GB2312" w:cs="仿宋_GB2312"/>
          <w:kern w:val="0"/>
          <w:sz w:val="32"/>
          <w:szCs w:val="32"/>
          <w:u w:val="none"/>
          <w:lang w:eastAsia="en-US"/>
        </w:rPr>
        <w:t>24.58</w:t>
      </w:r>
      <w:r>
        <w:rPr>
          <w:rFonts w:hint="eastAsia" w:ascii="仿宋_GB2312" w:hAnsi="仿宋_GB2312" w:eastAsia="仿宋_GB2312" w:cs="仿宋_GB2312"/>
          <w:kern w:val="0"/>
          <w:sz w:val="32"/>
          <w:szCs w:val="32"/>
        </w:rPr>
        <w:t>万元，其中：政府采购货物支出</w:t>
      </w:r>
      <w:r>
        <w:rPr>
          <w:rFonts w:hint="eastAsia" w:ascii="仿宋_GB2312" w:hAnsi="仿宋_GB2312" w:eastAsia="仿宋_GB2312" w:cs="仿宋_GB2312"/>
          <w:kern w:val="0"/>
          <w:sz w:val="32"/>
          <w:szCs w:val="32"/>
          <w:u w:val="none"/>
          <w:lang w:eastAsia="en-US"/>
        </w:rPr>
        <w:t>0.32</w:t>
      </w:r>
      <w:r>
        <w:rPr>
          <w:rFonts w:hint="eastAsia" w:ascii="仿宋_GB2312" w:hAnsi="仿宋_GB2312" w:eastAsia="仿宋_GB2312" w:cs="仿宋_GB2312"/>
          <w:kern w:val="0"/>
          <w:sz w:val="32"/>
          <w:szCs w:val="32"/>
        </w:rPr>
        <w:t>万元、政府采购工程支出</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rPr>
        <w:t>万元、政府采购服务支出</w:t>
      </w:r>
      <w:r>
        <w:rPr>
          <w:rFonts w:hint="eastAsia" w:ascii="仿宋_GB2312" w:hAnsi="仿宋_GB2312" w:eastAsia="仿宋_GB2312" w:cs="仿宋_GB2312"/>
          <w:kern w:val="0"/>
          <w:sz w:val="32"/>
          <w:szCs w:val="32"/>
          <w:u w:val="none"/>
          <w:lang w:eastAsia="en-US"/>
        </w:rPr>
        <w:t>24.26</w:t>
      </w:r>
      <w:r>
        <w:rPr>
          <w:rFonts w:hint="eastAsia" w:ascii="仿宋_GB2312" w:hAnsi="仿宋_GB2312" w:eastAsia="仿宋_GB2312" w:cs="仿宋_GB2312"/>
          <w:kern w:val="0"/>
          <w:sz w:val="32"/>
          <w:szCs w:val="32"/>
        </w:rPr>
        <w:t>万元。政府采购授予中小企业合同金额</w:t>
      </w:r>
      <w:r>
        <w:rPr>
          <w:rFonts w:hint="eastAsia" w:ascii="仿宋_GB2312" w:hAnsi="仿宋_GB2312" w:eastAsia="仿宋_GB2312" w:cs="仿宋_GB2312"/>
          <w:kern w:val="0"/>
          <w:sz w:val="32"/>
          <w:szCs w:val="32"/>
          <w:u w:val="none"/>
          <w:lang w:eastAsia="en-US"/>
        </w:rPr>
        <w:t>19.40</w:t>
      </w:r>
      <w:r>
        <w:rPr>
          <w:rFonts w:hint="eastAsia" w:ascii="仿宋_GB2312" w:hAnsi="仿宋_GB2312" w:eastAsia="仿宋_GB2312" w:cs="仿宋_GB2312"/>
          <w:kern w:val="0"/>
          <w:sz w:val="32"/>
          <w:szCs w:val="32"/>
        </w:rPr>
        <w:t>万元，占政府采购支出总额的</w:t>
      </w:r>
      <w:r>
        <w:rPr>
          <w:rFonts w:hint="eastAsia" w:ascii="仿宋_GB2312" w:hAnsi="仿宋_GB2312" w:eastAsia="仿宋_GB2312" w:cs="仿宋_GB2312"/>
          <w:kern w:val="0"/>
          <w:sz w:val="32"/>
          <w:szCs w:val="32"/>
          <w:u w:val="none"/>
          <w:lang w:val="en-US" w:eastAsia="zh-CN"/>
        </w:rPr>
        <w:t>78.93</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，其中：授予小微企业合同金额</w:t>
      </w:r>
      <w:r>
        <w:rPr>
          <w:rFonts w:hint="eastAsia" w:ascii="仿宋_GB2312" w:hAnsi="仿宋_GB2312" w:eastAsia="仿宋_GB2312" w:cs="仿宋_GB2312"/>
          <w:kern w:val="0"/>
          <w:sz w:val="32"/>
          <w:szCs w:val="32"/>
          <w:u w:val="none"/>
          <w:lang w:val="en-US" w:eastAsia="zh-CN"/>
        </w:rPr>
        <w:t>15.90</w:t>
      </w:r>
      <w:r>
        <w:rPr>
          <w:rFonts w:hint="eastAsia" w:ascii="仿宋_GB2312" w:hAnsi="仿宋_GB2312" w:eastAsia="仿宋_GB2312" w:cs="仿宋_GB2312"/>
          <w:kern w:val="0"/>
          <w:sz w:val="32"/>
          <w:szCs w:val="32"/>
        </w:rPr>
        <w:t>万元，占政府采购支出总额的</w:t>
      </w:r>
      <w:r>
        <w:rPr>
          <w:rFonts w:hint="eastAsia" w:ascii="仿宋_GB2312" w:hAnsi="仿宋_GB2312" w:eastAsia="仿宋_GB2312" w:cs="仿宋_GB2312"/>
          <w:kern w:val="0"/>
          <w:sz w:val="32"/>
          <w:szCs w:val="32"/>
          <w:u w:val="none"/>
          <w:lang w:val="en-US" w:eastAsia="zh-CN"/>
        </w:rPr>
        <w:t>64.69</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；货物采购授予中小企业合同金额占货物支出金额的</w:t>
      </w:r>
      <w:r>
        <w:rPr>
          <w:rFonts w:hint="eastAsia" w:ascii="仿宋_GB2312" w:hAnsi="仿宋_GB2312" w:eastAsia="仿宋_GB2312" w:cs="仿宋_GB2312"/>
          <w:kern w:val="0"/>
          <w:sz w:val="32"/>
          <w:szCs w:val="32"/>
          <w:lang w:val="en-US" w:eastAsia="zh-CN"/>
        </w:rPr>
        <w:t>10</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，工程采购授予中小企业合同金额占工程支出金额的</w:t>
      </w:r>
      <w:r>
        <w:rPr>
          <w:rFonts w:hint="eastAsia" w:ascii="仿宋_GB2312" w:hAnsi="仿宋_GB2312" w:eastAsia="仿宋_GB2312" w:cs="仿宋_GB2312"/>
          <w:kern w:val="0"/>
          <w:sz w:val="32"/>
          <w:szCs w:val="32"/>
          <w:u w:val="none"/>
          <w:lang w:val="en-US" w:eastAsia="zh-CN"/>
        </w:rPr>
        <w:t>0.00</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，服务采购授予中小企业合同金额占服务支出金额的</w:t>
      </w:r>
      <w:r>
        <w:rPr>
          <w:rFonts w:hint="eastAsia" w:ascii="仿宋_GB2312" w:hAnsi="仿宋_GB2312" w:eastAsia="仿宋_GB2312" w:cs="仿宋_GB2312"/>
          <w:kern w:val="0"/>
          <w:sz w:val="32"/>
          <w:szCs w:val="32"/>
          <w:u w:val="none"/>
          <w:lang w:val="en-US" w:eastAsia="zh-CN"/>
        </w:rPr>
        <w:t>78.68</w:t>
      </w:r>
      <w:r>
        <w:rPr>
          <w:rFonts w:hint="eastAsia" w:ascii="仿宋_GB2312" w:hAnsi="仿宋_GB2312" w:eastAsia="仿宋_GB2312" w:cs="仿宋_GB2312"/>
          <w:kern w:val="0"/>
          <w:sz w:val="32"/>
          <w:szCs w:val="32"/>
          <w:lang w:eastAsia="en-US"/>
        </w:rPr>
        <w:t>%</w:t>
      </w:r>
      <w:r>
        <w:rPr>
          <w:rFonts w:hint="eastAsia" w:ascii="仿宋_GB2312" w:hAnsi="仿宋_GB2312" w:eastAsia="仿宋_GB2312" w:cs="仿宋_GB2312"/>
          <w:kern w:val="0"/>
          <w:sz w:val="32"/>
          <w:szCs w:val="32"/>
        </w:rPr>
        <w:t>。</w:t>
      </w:r>
    </w:p>
    <w:p w14:paraId="0280CAB1">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黑体" w:hAnsi="黑体" w:eastAsia="黑体" w:cs="黑体"/>
          <w:b w:val="0"/>
          <w:bCs w:val="0"/>
          <w:kern w:val="0"/>
          <w:sz w:val="32"/>
          <w:szCs w:val="32"/>
        </w:rPr>
      </w:pPr>
      <w:r>
        <w:rPr>
          <w:rFonts w:ascii="黑体" w:hAnsi="黑体" w:eastAsia="黑体" w:cs="黑体"/>
          <w:b w:val="0"/>
          <w:bCs w:val="0"/>
          <w:kern w:val="0"/>
          <w:sz w:val="32"/>
          <w:szCs w:val="32"/>
        </w:rPr>
        <w:t>十三、国有资产占用情况说明</w:t>
      </w:r>
    </w:p>
    <w:p w14:paraId="406C71E7">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Times New Roman" w:cs="Times New Roman"/>
          <w:kern w:val="0"/>
          <w:sz w:val="24"/>
        </w:rPr>
      </w:pPr>
      <w:r>
        <w:rPr>
          <w:rFonts w:hint="eastAsia" w:ascii="仿宋_GB2312" w:hAnsi="仿宋_GB2312" w:eastAsia="仿宋_GB2312" w:cs="仿宋_GB2312"/>
          <w:kern w:val="0"/>
          <w:sz w:val="32"/>
          <w:szCs w:val="32"/>
        </w:rPr>
        <w:t>内蒙古大兴安岭森林公安局北部原始林区分局截至</w:t>
      </w:r>
      <w:r>
        <w:rPr>
          <w:rFonts w:hint="eastAsia" w:ascii="仿宋_GB2312" w:hAnsi="仿宋_GB2312" w:eastAsia="仿宋_GB2312" w:cs="仿宋_GB2312"/>
          <w:kern w:val="0"/>
          <w:sz w:val="32"/>
          <w:szCs w:val="32"/>
          <w:lang w:eastAsia="en-US"/>
        </w:rPr>
        <w:t>2025</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eastAsia="en-US"/>
        </w:rPr>
        <w:t>12</w:t>
      </w:r>
      <w:r>
        <w:rPr>
          <w:rFonts w:hint="eastAsia" w:ascii="仿宋_GB2312" w:hAnsi="仿宋_GB2312" w:eastAsia="仿宋_GB2312" w:cs="仿宋_GB2312"/>
          <w:kern w:val="0"/>
          <w:sz w:val="32"/>
          <w:szCs w:val="32"/>
        </w:rPr>
        <w:t>月</w:t>
      </w:r>
      <w:r>
        <w:rPr>
          <w:rFonts w:hint="eastAsia" w:ascii="仿宋_GB2312" w:hAnsi="仿宋_GB2312" w:eastAsia="仿宋_GB2312" w:cs="仿宋_GB2312"/>
          <w:kern w:val="0"/>
          <w:sz w:val="32"/>
          <w:szCs w:val="32"/>
          <w:lang w:eastAsia="en-US"/>
        </w:rPr>
        <w:t>31</w:t>
      </w:r>
      <w:r>
        <w:rPr>
          <w:rFonts w:hint="eastAsia" w:ascii="仿宋_GB2312" w:hAnsi="仿宋_GB2312" w:eastAsia="仿宋_GB2312" w:cs="仿宋_GB2312"/>
          <w:kern w:val="0"/>
          <w:sz w:val="32"/>
          <w:szCs w:val="32"/>
        </w:rPr>
        <w:t>日，本单位共有车辆</w:t>
      </w:r>
      <w:r>
        <w:rPr>
          <w:rFonts w:hint="eastAsia" w:ascii="仿宋_GB2312" w:hAnsi="仿宋_GB2312" w:eastAsia="仿宋_GB2312" w:cs="仿宋_GB2312"/>
          <w:kern w:val="0"/>
          <w:sz w:val="32"/>
          <w:szCs w:val="32"/>
          <w:u w:val="none"/>
          <w:lang w:eastAsia="en-US"/>
        </w:rPr>
        <w:t>11</w:t>
      </w:r>
      <w:r>
        <w:rPr>
          <w:rFonts w:hint="eastAsia" w:ascii="仿宋_GB2312" w:hAnsi="仿宋_GB2312" w:eastAsia="仿宋_GB2312" w:cs="仿宋_GB2312"/>
          <w:kern w:val="0"/>
          <w:sz w:val="32"/>
          <w:szCs w:val="32"/>
        </w:rPr>
        <w:t>辆，其中：副部（省）级及以上领导用车</w:t>
      </w:r>
      <w:r>
        <w:rPr>
          <w:rFonts w:hint="eastAsia" w:ascii="仿宋_GB2312" w:hAnsi="仿宋_GB2312" w:eastAsia="仿宋_GB2312" w:cs="仿宋_GB2312"/>
          <w:kern w:val="0"/>
          <w:sz w:val="32"/>
          <w:szCs w:val="32"/>
          <w:u w:val="none"/>
          <w:lang w:eastAsia="en-US"/>
        </w:rPr>
        <w:t>0</w:t>
      </w:r>
      <w:r>
        <w:rPr>
          <w:rFonts w:hint="eastAsia" w:ascii="仿宋_GB2312" w:hAnsi="仿宋_GB2312" w:eastAsia="仿宋_GB2312" w:cs="仿宋_GB2312"/>
          <w:kern w:val="0"/>
          <w:sz w:val="32"/>
          <w:szCs w:val="32"/>
        </w:rPr>
        <w:t>辆、主要负责人用车</w:t>
      </w:r>
      <w:r>
        <w:rPr>
          <w:rFonts w:hint="eastAsia" w:ascii="仿宋_GB2312" w:hAnsi="仿宋_GB2312" w:eastAsia="仿宋_GB2312" w:cs="仿宋_GB2312"/>
          <w:kern w:val="0"/>
          <w:sz w:val="32"/>
          <w:szCs w:val="32"/>
          <w:u w:val="none"/>
          <w:lang w:eastAsia="en-US"/>
        </w:rPr>
        <w:t>0</w:t>
      </w:r>
      <w:r>
        <w:rPr>
          <w:rFonts w:hint="eastAsia" w:ascii="仿宋_GB2312" w:hAnsi="仿宋_GB2312" w:eastAsia="仿宋_GB2312" w:cs="仿宋_GB2312"/>
          <w:kern w:val="0"/>
          <w:sz w:val="32"/>
          <w:szCs w:val="32"/>
        </w:rPr>
        <w:t>辆、机要通信用车</w:t>
      </w:r>
      <w:r>
        <w:rPr>
          <w:rFonts w:hint="eastAsia" w:ascii="仿宋_GB2312" w:hAnsi="仿宋_GB2312" w:eastAsia="仿宋_GB2312" w:cs="仿宋_GB2312"/>
          <w:kern w:val="0"/>
          <w:sz w:val="32"/>
          <w:szCs w:val="32"/>
          <w:u w:val="none"/>
          <w:lang w:eastAsia="en-US"/>
        </w:rPr>
        <w:t>0</w:t>
      </w:r>
      <w:r>
        <w:rPr>
          <w:rFonts w:hint="eastAsia" w:ascii="仿宋_GB2312" w:hAnsi="仿宋_GB2312" w:eastAsia="仿宋_GB2312" w:cs="仿宋_GB2312"/>
          <w:kern w:val="0"/>
          <w:sz w:val="32"/>
          <w:szCs w:val="32"/>
        </w:rPr>
        <w:t>辆、应急保障用车</w:t>
      </w:r>
      <w:r>
        <w:rPr>
          <w:rFonts w:hint="eastAsia" w:ascii="仿宋_GB2312" w:hAnsi="仿宋_GB2312" w:eastAsia="仿宋_GB2312" w:cs="仿宋_GB2312"/>
          <w:kern w:val="0"/>
          <w:sz w:val="32"/>
          <w:szCs w:val="32"/>
          <w:u w:val="none"/>
          <w:lang w:eastAsia="en-US"/>
        </w:rPr>
        <w:t>0</w:t>
      </w:r>
      <w:r>
        <w:rPr>
          <w:rFonts w:hint="eastAsia" w:ascii="仿宋_GB2312" w:hAnsi="仿宋_GB2312" w:eastAsia="仿宋_GB2312" w:cs="仿宋_GB2312"/>
          <w:kern w:val="0"/>
          <w:sz w:val="32"/>
          <w:szCs w:val="32"/>
        </w:rPr>
        <w:t>辆、执法执勤用车</w:t>
      </w:r>
      <w:r>
        <w:rPr>
          <w:rFonts w:hint="eastAsia" w:ascii="仿宋_GB2312" w:hAnsi="仿宋_GB2312" w:eastAsia="仿宋_GB2312" w:cs="仿宋_GB2312"/>
          <w:kern w:val="0"/>
          <w:sz w:val="32"/>
          <w:szCs w:val="32"/>
          <w:u w:val="none"/>
          <w:lang w:eastAsia="en-US"/>
        </w:rPr>
        <w:t>8</w:t>
      </w:r>
      <w:r>
        <w:rPr>
          <w:rFonts w:hint="eastAsia" w:ascii="仿宋_GB2312" w:hAnsi="仿宋_GB2312" w:eastAsia="仿宋_GB2312" w:cs="仿宋_GB2312"/>
          <w:kern w:val="0"/>
          <w:sz w:val="32"/>
          <w:szCs w:val="32"/>
        </w:rPr>
        <w:t>辆、特种专业技术用车</w:t>
      </w:r>
      <w:r>
        <w:rPr>
          <w:rFonts w:hint="eastAsia" w:ascii="仿宋_GB2312" w:hAnsi="仿宋_GB2312" w:eastAsia="仿宋_GB2312" w:cs="仿宋_GB2312"/>
          <w:kern w:val="0"/>
          <w:sz w:val="32"/>
          <w:szCs w:val="32"/>
          <w:u w:val="none"/>
          <w:lang w:eastAsia="en-US"/>
        </w:rPr>
        <w:t>3</w:t>
      </w:r>
      <w:r>
        <w:rPr>
          <w:rFonts w:hint="eastAsia" w:ascii="仿宋_GB2312" w:hAnsi="仿宋_GB2312" w:eastAsia="仿宋_GB2312" w:cs="仿宋_GB2312"/>
          <w:kern w:val="0"/>
          <w:sz w:val="32"/>
          <w:szCs w:val="32"/>
        </w:rPr>
        <w:t>辆、离退休干部服务用车</w:t>
      </w:r>
      <w:r>
        <w:rPr>
          <w:rFonts w:hint="eastAsia" w:ascii="仿宋_GB2312" w:hAnsi="仿宋_GB2312" w:eastAsia="仿宋_GB2312" w:cs="仿宋_GB2312"/>
          <w:kern w:val="0"/>
          <w:sz w:val="32"/>
          <w:szCs w:val="32"/>
          <w:u w:val="none"/>
          <w:lang w:eastAsia="en-US"/>
        </w:rPr>
        <w:t>0</w:t>
      </w:r>
      <w:r>
        <w:rPr>
          <w:rFonts w:hint="eastAsia" w:ascii="仿宋_GB2312" w:hAnsi="仿宋_GB2312" w:eastAsia="仿宋_GB2312" w:cs="仿宋_GB2312"/>
          <w:kern w:val="0"/>
          <w:sz w:val="32"/>
          <w:szCs w:val="32"/>
        </w:rPr>
        <w:t>辆、其他用车</w:t>
      </w:r>
      <w:r>
        <w:rPr>
          <w:rFonts w:hint="eastAsia" w:ascii="仿宋_GB2312" w:hAnsi="仿宋_GB2312" w:eastAsia="仿宋_GB2312" w:cs="仿宋_GB2312"/>
          <w:kern w:val="0"/>
          <w:sz w:val="32"/>
          <w:szCs w:val="32"/>
          <w:u w:val="none"/>
          <w:lang w:eastAsia="en-US"/>
        </w:rPr>
        <w:t>0</w:t>
      </w:r>
      <w:r>
        <w:rPr>
          <w:rFonts w:hint="eastAsia" w:ascii="仿宋_GB2312" w:hAnsi="仿宋_GB2312" w:eastAsia="仿宋_GB2312" w:cs="仿宋_GB2312"/>
          <w:kern w:val="0"/>
          <w:sz w:val="32"/>
          <w:szCs w:val="32"/>
        </w:rPr>
        <w:t>辆；单价</w:t>
      </w:r>
      <w:r>
        <w:rPr>
          <w:rFonts w:hint="eastAsia" w:ascii="仿宋_GB2312" w:hAnsi="仿宋_GB2312" w:eastAsia="仿宋_GB2312" w:cs="仿宋_GB2312"/>
          <w:kern w:val="0"/>
          <w:sz w:val="32"/>
          <w:szCs w:val="32"/>
          <w:lang w:eastAsia="en-US"/>
        </w:rPr>
        <w:t>100</w:t>
      </w:r>
      <w:r>
        <w:rPr>
          <w:rFonts w:hint="eastAsia" w:ascii="仿宋_GB2312" w:hAnsi="仿宋_GB2312" w:eastAsia="仿宋_GB2312" w:cs="仿宋_GB2312"/>
          <w:kern w:val="0"/>
          <w:sz w:val="32"/>
          <w:szCs w:val="32"/>
        </w:rPr>
        <w:t>万元（含）以上设备（不含车辆）</w:t>
      </w:r>
      <w:r>
        <w:rPr>
          <w:rFonts w:hint="eastAsia" w:ascii="仿宋_GB2312" w:hAnsi="仿宋_GB2312" w:eastAsia="仿宋_GB2312" w:cs="仿宋_GB2312"/>
          <w:kern w:val="0"/>
          <w:sz w:val="32"/>
          <w:szCs w:val="32"/>
          <w:u w:val="none"/>
          <w:lang w:eastAsia="en-US"/>
        </w:rPr>
        <w:t>0</w:t>
      </w:r>
      <w:r>
        <w:rPr>
          <w:rFonts w:hint="eastAsia" w:ascii="仿宋_GB2312" w:hAnsi="仿宋_GB2312" w:eastAsia="仿宋_GB2312" w:cs="仿宋_GB2312"/>
          <w:kern w:val="0"/>
          <w:sz w:val="32"/>
          <w:szCs w:val="32"/>
        </w:rPr>
        <w:t>台（套）。</w:t>
      </w:r>
    </w:p>
    <w:p w14:paraId="316FB8CD">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Times New Roman" w:cs="Times New Roman"/>
          <w:kern w:val="0"/>
          <w:sz w:val="24"/>
        </w:rPr>
      </w:pPr>
      <w:r>
        <w:rPr>
          <w:rFonts w:ascii="黑体" w:hAnsi="黑体" w:eastAsia="黑体" w:cs="黑体"/>
          <w:b w:val="0"/>
          <w:bCs w:val="0"/>
          <w:kern w:val="0"/>
          <w:sz w:val="32"/>
          <w:szCs w:val="32"/>
        </w:rPr>
        <w:t>十四、预算绩效情况说明</w:t>
      </w:r>
    </w:p>
    <w:p w14:paraId="208B1497">
      <w:pPr>
        <w:pStyle w:val="29"/>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auto"/>
        <w:rPr>
          <w:rFonts w:ascii="Times New Roman" w:hAnsi="Times New Roman" w:eastAsia="Times New Roman" w:cs="Times New Roman"/>
          <w:kern w:val="0"/>
          <w:sz w:val="24"/>
        </w:rPr>
      </w:pPr>
      <w:r>
        <w:rPr>
          <w:rFonts w:hint="eastAsia" w:ascii="楷体_GB2312" w:hAnsi="楷体_GB2312" w:eastAsia="楷体_GB2312" w:cs="楷体_GB2312"/>
          <w:b/>
          <w:bCs/>
          <w:kern w:val="0"/>
          <w:sz w:val="32"/>
          <w:szCs w:val="32"/>
        </w:rPr>
        <w:t>（一）预算绩效管理工作开展情况。</w:t>
      </w:r>
    </w:p>
    <w:p w14:paraId="12BF87DC">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内蒙古大兴安岭森林公安局北部原始林区分局</w:t>
      </w:r>
      <w:r>
        <w:rPr>
          <w:rFonts w:hint="eastAsia" w:ascii="仿宋_GB2312" w:hAnsi="仿宋_GB2312" w:eastAsia="仿宋_GB2312" w:cs="仿宋_GB2312"/>
          <w:kern w:val="0"/>
          <w:sz w:val="32"/>
          <w:szCs w:val="32"/>
          <w:lang w:val="en-US" w:eastAsia="zh-CN"/>
        </w:rPr>
        <w:t>根据预算绩效管理要求组织对2025年一般公共预算非涉密项目支出全面开展绩效自评，其中一级项目0个，二级项目2个，共涉及资金45.00万元，占一般公共预算非涉密项目支出总额的100.00%。</w:t>
      </w:r>
    </w:p>
    <w:p w14:paraId="5F2A00EB">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Times New Roman" w:cs="Times New Roman"/>
          <w:kern w:val="0"/>
          <w:sz w:val="24"/>
          <w:lang w:val="en-US"/>
        </w:rPr>
      </w:pPr>
      <w:r>
        <w:rPr>
          <w:rFonts w:hint="eastAsia" w:ascii="仿宋_GB2312" w:hAnsi="仿宋_GB2312" w:eastAsia="仿宋_GB2312" w:cs="仿宋_GB2312"/>
          <w:kern w:val="0"/>
          <w:sz w:val="32"/>
          <w:szCs w:val="32"/>
          <w:lang w:val="en-US" w:eastAsia="zh-CN"/>
        </w:rPr>
        <w:t>组织对“办案（业务）经费”“公安专用装备购置与设施购建”等2个项目开展了绩效自评，涉及一般公共预算支出45.00万元，无其他类资金项目。从评价情况看，以上项目的实施，使公安工作有序开展，基础保障条件得到改善，装备使用得到有力保障，经费对公安工作支撑力强，</w:t>
      </w:r>
      <w:r>
        <w:rPr>
          <w:rFonts w:hint="eastAsia" w:ascii="仿宋_GB2312" w:hAnsi="仿宋_GB2312" w:eastAsia="仿宋_GB2312" w:cs="仿宋_GB2312"/>
          <w:sz w:val="32"/>
          <w:szCs w:val="32"/>
        </w:rPr>
        <w:t>提高</w:t>
      </w:r>
      <w:r>
        <w:rPr>
          <w:rFonts w:hint="eastAsia" w:ascii="仿宋_GB2312" w:hAnsi="仿宋_GB2312" w:eastAsia="仿宋_GB2312" w:cs="仿宋_GB2312"/>
          <w:sz w:val="32"/>
          <w:szCs w:val="32"/>
          <w:lang w:val="en-US" w:eastAsia="zh-CN"/>
        </w:rPr>
        <w:t>了</w:t>
      </w:r>
      <w:r>
        <w:rPr>
          <w:rFonts w:hint="eastAsia" w:ascii="仿宋_GB2312" w:hAnsi="仿宋_GB2312" w:eastAsia="仿宋_GB2312" w:cs="仿宋_GB2312"/>
          <w:sz w:val="32"/>
          <w:szCs w:val="32"/>
        </w:rPr>
        <w:t>森林公安整体业务能力水平和战斗力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但仍存在部分绩效目标编制不够精准，绩效指标偏离，效益及满意度分析有待加强等问题。针对上述问题，我单位将进一步夯实预算编制基础，完善绩效目标审核机制，加强责任监督和管理，确保项目有序开展实施。</w:t>
      </w:r>
    </w:p>
    <w:p w14:paraId="70E4C8A8">
      <w:pPr>
        <w:pStyle w:val="29"/>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auto"/>
        <w:rPr>
          <w:rFonts w:ascii="Times New Roman" w:hAnsi="Times New Roman" w:eastAsia="Times New Roman" w:cs="Times New Roman"/>
          <w:kern w:val="0"/>
          <w:sz w:val="24"/>
        </w:rPr>
      </w:pPr>
      <w:r>
        <w:rPr>
          <w:rFonts w:hint="eastAsia" w:ascii="楷体_GB2312" w:hAnsi="楷体_GB2312" w:eastAsia="楷体_GB2312" w:cs="楷体_GB2312"/>
          <w:b/>
          <w:bCs/>
          <w:kern w:val="0"/>
          <w:sz w:val="32"/>
          <w:szCs w:val="32"/>
        </w:rPr>
        <w:t>（二）单位决算中项目绩效自评结果。</w:t>
      </w:r>
    </w:p>
    <w:p w14:paraId="5B00AA26">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内蒙古大兴安岭森林公安局北部原始林区分局</w:t>
      </w:r>
      <w:r>
        <w:rPr>
          <w:rFonts w:hint="eastAsia" w:ascii="仿宋_GB2312" w:hAnsi="仿宋_GB2312" w:eastAsia="仿宋_GB2312" w:cs="仿宋_GB2312"/>
          <w:kern w:val="0"/>
          <w:sz w:val="32"/>
          <w:szCs w:val="32"/>
          <w:lang w:val="en-US" w:eastAsia="zh-CN"/>
        </w:rPr>
        <w:t>2025年度在决算中反映2个一般公共预算非涉密项目的绩效自评结果。</w:t>
      </w:r>
    </w:p>
    <w:p w14:paraId="274413A2">
      <w:pPr>
        <w:pStyle w:val="29"/>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bidi="ar-SA"/>
        </w:rPr>
        <w:t>1.</w:t>
      </w:r>
      <w:r>
        <w:rPr>
          <w:rFonts w:hint="eastAsia" w:ascii="仿宋_GB2312" w:hAnsi="仿宋_GB2312" w:eastAsia="仿宋_GB2312" w:cs="仿宋_GB2312"/>
          <w:kern w:val="0"/>
          <w:sz w:val="32"/>
          <w:szCs w:val="32"/>
          <w:lang w:val="en-US" w:eastAsia="zh-CN"/>
        </w:rPr>
        <w:t>办案（业务）经费项目自评综述：根据年初设定的绩效目标，项目自评得分100.00分。全年预算数30.00万元，执行数30.00万元，完成预算的100.00%。项目绩效目标完成情况：本单位紧紧围绕年初制定的绩效目标，切实加强组织领导，落实工作责任，基本完成目标任务，我单位制订了有效的内部控制管理和经费支出控制方案，有较强的内控风险管理意识、各项经费支出得到了有效控制。保障了单位经费及正常运转、收支平衡及工作有序开展。</w:t>
      </w:r>
    </w:p>
    <w:p w14:paraId="47E91B69">
      <w:pPr>
        <w:pStyle w:val="29"/>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2.</w:t>
      </w:r>
      <w:r>
        <w:rPr>
          <w:rFonts w:hint="eastAsia" w:ascii="仿宋_GB2312" w:hAnsi="仿宋_GB2312" w:eastAsia="仿宋_GB2312" w:cs="仿宋_GB2312"/>
          <w:kern w:val="0"/>
          <w:sz w:val="32"/>
          <w:szCs w:val="32"/>
          <w:lang w:val="en-US" w:eastAsia="zh-CN"/>
        </w:rPr>
        <w:t>公安专用装备购置与设施购建项目自评综述：根据年初设定的绩效目标，项目自评得分95.00分。全年预算数15.00万元，执行数15.00万元，完成预算的100.00%。项目绩效目标完成情况：该项目主要用于维护辖区稳定保护生态安全及打击破坏森林资源、野生动植物资源违法犯罪，有效的维护辖区社会政治治安稳定提供了坚强的保障，保护辖区职工群众生命财产安全，提升了辖区人民群众满意度、幸福感和安全感。通过装备费用的投入有效的保障了北部原始林区分局各项工作顺利开展，圆满完成了各项工作任务。发现主要问题及原因：</w:t>
      </w:r>
      <w:r>
        <w:rPr>
          <w:rFonts w:hint="eastAsia" w:ascii="仿宋_GB2312" w:hAnsi="仿宋_GB2312" w:eastAsia="仿宋_GB2312" w:cs="仿宋_GB2312"/>
          <w:sz w:val="32"/>
          <w:szCs w:val="32"/>
          <w:lang w:val="en-US" w:eastAsia="zh-CN"/>
        </w:rPr>
        <w:t>在设立指标时，存在未系统分析设备使用情况，未统筹各部门采购设备需求意见，盲目设立项目指标的问题，从而导致年终项目指标偏离。下一步改进措施：结合本单位全年工作计划及重点内容，在预算资金下达前及时开展专用装备购置项目的审批、立项等流程及事前绩效评估工作，精确专用装备购置项目数量和成本，确保产出指标执行不偏离，并科学合理的设置绩效目标及指标，充分反映、明确指向重点工作及任务目标，更加清晰明确的体现本单位全年工作的完成情况。</w:t>
      </w:r>
    </w:p>
    <w:tbl>
      <w:tblPr>
        <w:tblStyle w:val="19"/>
        <w:tblW w:w="850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42"/>
        <w:gridCol w:w="642"/>
        <w:gridCol w:w="788"/>
        <w:gridCol w:w="618"/>
        <w:gridCol w:w="618"/>
        <w:gridCol w:w="618"/>
        <w:gridCol w:w="691"/>
        <w:gridCol w:w="691"/>
        <w:gridCol w:w="780"/>
        <w:gridCol w:w="691"/>
        <w:gridCol w:w="921"/>
        <w:gridCol w:w="804"/>
      </w:tblGrid>
      <w:tr w14:paraId="033B7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jc w:val="center"/>
        </w:trPr>
        <w:tc>
          <w:tcPr>
            <w:tcW w:w="19521"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6D4BB69E">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项目支出绩效自评表</w:t>
            </w:r>
            <w:r>
              <w:rPr>
                <w:rFonts w:hint="eastAsia" w:ascii="宋体" w:hAnsi="宋体" w:eastAsia="宋体" w:cs="宋体"/>
                <w:b/>
                <w:bCs/>
                <w:i w:val="0"/>
                <w:iCs w:val="0"/>
                <w:color w:val="000000"/>
                <w:kern w:val="0"/>
                <w:sz w:val="40"/>
                <w:szCs w:val="40"/>
                <w:u w:val="none"/>
                <w:lang w:val="en-US" w:eastAsia="zh-CN" w:bidi="ar"/>
              </w:rPr>
              <w:br w:type="textWrapping"/>
            </w:r>
            <w:r>
              <w:rPr>
                <w:rFonts w:hint="eastAsia" w:ascii="宋体" w:hAnsi="宋体" w:eastAsia="宋体" w:cs="宋体"/>
                <w:b/>
                <w:bCs/>
                <w:i w:val="0"/>
                <w:iCs w:val="0"/>
                <w:color w:val="000000"/>
                <w:kern w:val="0"/>
                <w:sz w:val="40"/>
                <w:szCs w:val="40"/>
                <w:u w:val="none"/>
                <w:lang w:val="en-US" w:eastAsia="zh-CN" w:bidi="ar"/>
              </w:rPr>
              <w:t>(2025年度）</w:t>
            </w:r>
          </w:p>
        </w:tc>
      </w:tr>
      <w:tr w14:paraId="000D2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34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D2401E">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161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433951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办案（业务）经费</w:t>
            </w:r>
          </w:p>
        </w:tc>
      </w:tr>
      <w:tr w14:paraId="1332F9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34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47BF02">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64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5D8D0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内蒙古自治区公安厅部门</w:t>
            </w:r>
          </w:p>
        </w:tc>
        <w:tc>
          <w:tcPr>
            <w:tcW w:w="3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DCECB0">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65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CB74B8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内蒙古大兴安岭森林公安局北部原始林区分局</w:t>
            </w:r>
          </w:p>
        </w:tc>
      </w:tr>
      <w:tr w14:paraId="3CB72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34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A80E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CB244">
            <w:pPr>
              <w:rPr>
                <w:rFonts w:hint="eastAsia" w:ascii="宋体" w:hAnsi="宋体" w:eastAsia="宋体" w:cs="宋体"/>
                <w:i w:val="0"/>
                <w:iCs w:val="0"/>
                <w:color w:val="000000"/>
                <w:sz w:val="18"/>
                <w:szCs w:val="18"/>
                <w:u w:val="none"/>
              </w:rPr>
            </w:pP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A87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3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1888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3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4ABB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B81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32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1600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87B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14:paraId="173C77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34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78EF57">
            <w:pPr>
              <w:jc w:val="center"/>
              <w:rPr>
                <w:rFonts w:hint="eastAsia" w:ascii="宋体" w:hAnsi="宋体" w:eastAsia="宋体" w:cs="宋体"/>
                <w:i w:val="0"/>
                <w:iCs w:val="0"/>
                <w:color w:val="000000"/>
                <w:sz w:val="18"/>
                <w:szCs w:val="18"/>
                <w:u w:val="none"/>
              </w:rPr>
            </w:pP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158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0590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A0B3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3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634B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262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C205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AB9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14:paraId="31BD8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34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1757C8">
            <w:pPr>
              <w:jc w:val="center"/>
              <w:rPr>
                <w:rFonts w:hint="eastAsia" w:ascii="宋体" w:hAnsi="宋体" w:eastAsia="宋体" w:cs="宋体"/>
                <w:i w:val="0"/>
                <w:iCs w:val="0"/>
                <w:color w:val="000000"/>
                <w:sz w:val="18"/>
                <w:szCs w:val="18"/>
                <w:u w:val="none"/>
              </w:rPr>
            </w:pP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BAC5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FD70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F87C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3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3B4D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4B3CC">
            <w:pPr>
              <w:keepNext w:val="0"/>
              <w:keepLines w:val="0"/>
              <w:widowControl/>
              <w:suppressLineNumbers w:val="0"/>
              <w:jc w:val="center"/>
              <w:textAlignment w:val="center"/>
              <w:rPr>
                <w:rFonts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32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652A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FA076">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0D835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34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B5D34C">
            <w:pPr>
              <w:jc w:val="center"/>
              <w:rPr>
                <w:rFonts w:hint="eastAsia" w:ascii="宋体" w:hAnsi="宋体" w:eastAsia="宋体" w:cs="宋体"/>
                <w:i w:val="0"/>
                <w:iCs w:val="0"/>
                <w:color w:val="000000"/>
                <w:sz w:val="18"/>
                <w:szCs w:val="18"/>
                <w:u w:val="none"/>
              </w:rPr>
            </w:pP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445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0E79F">
            <w:pPr>
              <w:rPr>
                <w:rFonts w:hint="eastAsia" w:ascii="宋体" w:hAnsi="宋体" w:eastAsia="宋体" w:cs="宋体"/>
                <w:i w:val="0"/>
                <w:iCs w:val="0"/>
                <w:color w:val="000000"/>
                <w:sz w:val="18"/>
                <w:szCs w:val="18"/>
                <w:u w:val="none"/>
              </w:rPr>
            </w:pPr>
          </w:p>
        </w:tc>
        <w:tc>
          <w:tcPr>
            <w:tcW w:w="3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161A45">
            <w:pPr>
              <w:jc w:val="center"/>
              <w:rPr>
                <w:rFonts w:hint="eastAsia" w:ascii="宋体" w:hAnsi="宋体" w:eastAsia="宋体" w:cs="宋体"/>
                <w:i w:val="0"/>
                <w:iCs w:val="0"/>
                <w:color w:val="000000"/>
                <w:sz w:val="18"/>
                <w:szCs w:val="18"/>
                <w:u w:val="none"/>
              </w:rPr>
            </w:pPr>
          </w:p>
        </w:tc>
        <w:tc>
          <w:tcPr>
            <w:tcW w:w="3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572D31">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B1298">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32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22BA63">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9D05D">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7E62C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34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5DAC43">
            <w:pPr>
              <w:jc w:val="center"/>
              <w:rPr>
                <w:rFonts w:hint="eastAsia" w:ascii="宋体" w:hAnsi="宋体" w:eastAsia="宋体" w:cs="宋体"/>
                <w:i w:val="0"/>
                <w:iCs w:val="0"/>
                <w:color w:val="000000"/>
                <w:sz w:val="18"/>
                <w:szCs w:val="18"/>
                <w:u w:val="none"/>
              </w:rPr>
            </w:pP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F5E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90D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E205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19DB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5D69B">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32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64A5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0E7C5">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4865D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34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FE8C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802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93975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808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9E0F0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14:paraId="1B3C8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jc w:val="center"/>
        </w:trPr>
        <w:tc>
          <w:tcPr>
            <w:tcW w:w="34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034BAC">
            <w:pPr>
              <w:jc w:val="center"/>
              <w:rPr>
                <w:rFonts w:hint="eastAsia" w:ascii="宋体" w:hAnsi="宋体" w:eastAsia="宋体" w:cs="宋体"/>
                <w:i w:val="0"/>
                <w:iCs w:val="0"/>
                <w:color w:val="000000"/>
                <w:sz w:val="18"/>
                <w:szCs w:val="18"/>
                <w:u w:val="none"/>
              </w:rPr>
            </w:pPr>
          </w:p>
        </w:tc>
        <w:tc>
          <w:tcPr>
            <w:tcW w:w="802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3C9A04C">
            <w:pPr>
              <w:keepNext w:val="0"/>
              <w:keepLines w:val="0"/>
              <w:widowControl/>
              <w:suppressLineNumbers w:val="0"/>
              <w:ind w:firstLine="360" w:firstLineChars="20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结合本单位工作实际，为辖区巡查巡护、警务驻勤、火因调查及其他类案件侦破提供经费保障，不断突破案件数量，不超预算支出，按进度进行支出，努力提高森林公安整体业务能力水平和战斗力，维护林区社会稳定，加大对涉林及野生动植物案件打击力度，保障林地草原野生动植物资源不受侵害，提升群众满意度。</w:t>
            </w:r>
          </w:p>
        </w:tc>
        <w:tc>
          <w:tcPr>
            <w:tcW w:w="808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D094B4B">
            <w:pPr>
              <w:keepNext w:val="0"/>
              <w:keepLines w:val="0"/>
              <w:widowControl/>
              <w:suppressLineNumbers w:val="0"/>
              <w:ind w:firstLine="360" w:firstLineChars="20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我单位本项目标2025年全年执行30.00万元，执行率100.00%，</w:t>
            </w:r>
            <w:r>
              <w:rPr>
                <w:rFonts w:hint="eastAsia" w:ascii="宋体" w:hAnsi="宋体" w:cs="宋体"/>
                <w:i w:val="0"/>
                <w:iCs w:val="0"/>
                <w:color w:val="000000"/>
                <w:kern w:val="0"/>
                <w:sz w:val="18"/>
                <w:szCs w:val="18"/>
                <w:highlight w:val="none"/>
                <w:u w:val="none"/>
                <w:lang w:val="en-US" w:eastAsia="zh-CN" w:bidi="ar"/>
              </w:rPr>
              <w:t>我</w:t>
            </w:r>
            <w:r>
              <w:rPr>
                <w:rFonts w:hint="eastAsia" w:ascii="宋体" w:hAnsi="宋体" w:eastAsia="宋体" w:cs="宋体"/>
                <w:i w:val="0"/>
                <w:iCs w:val="0"/>
                <w:color w:val="000000"/>
                <w:kern w:val="0"/>
                <w:sz w:val="18"/>
                <w:szCs w:val="18"/>
                <w:u w:val="none"/>
                <w:lang w:val="en-US" w:eastAsia="zh-CN" w:bidi="ar"/>
              </w:rPr>
              <w:t>单位紧紧围绕年初制定的绩效目标，切实加强组织领导，落实工作责任，基本完成目标任务，我单位制订了有效的内部控制管理和经费支出控制方案，有较强的内控风险管理意识、各项经费支出得到了有效控制。保障了单位经费及正常运转、收支平衡及工作有序开展。</w:t>
            </w:r>
          </w:p>
        </w:tc>
      </w:tr>
      <w:tr w14:paraId="1C1E3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939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4A0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5BA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FE3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485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B72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指标方向</w:t>
            </w: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847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293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32E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7D5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1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E66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173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14:paraId="2AAD5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1708" w:type="dxa"/>
            <w:vMerge w:val="restart"/>
            <w:tcBorders>
              <w:top w:val="single" w:color="000000" w:sz="4" w:space="0"/>
              <w:left w:val="single" w:color="000000" w:sz="4" w:space="0"/>
              <w:bottom w:val="nil"/>
              <w:right w:val="single" w:color="000000" w:sz="4" w:space="0"/>
            </w:tcBorders>
            <w:shd w:val="clear" w:color="auto" w:fill="auto"/>
            <w:vAlign w:val="center"/>
          </w:tcPr>
          <w:p w14:paraId="75EB92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1708" w:type="dxa"/>
            <w:vMerge w:val="restart"/>
            <w:tcBorders>
              <w:top w:val="single" w:color="000000" w:sz="4" w:space="0"/>
              <w:left w:val="single" w:color="000000" w:sz="4" w:space="0"/>
              <w:bottom w:val="nil"/>
              <w:right w:val="single" w:color="000000" w:sz="4" w:space="0"/>
            </w:tcBorders>
            <w:shd w:val="clear" w:color="auto" w:fill="auto"/>
            <w:vAlign w:val="center"/>
          </w:tcPr>
          <w:p w14:paraId="5D553B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708" w:type="dxa"/>
            <w:vMerge w:val="restart"/>
            <w:tcBorders>
              <w:top w:val="single" w:color="000000" w:sz="4" w:space="0"/>
              <w:left w:val="single" w:color="000000" w:sz="4" w:space="0"/>
              <w:bottom w:val="nil"/>
              <w:right w:val="single" w:color="000000" w:sz="4" w:space="0"/>
            </w:tcBorders>
            <w:shd w:val="clear" w:color="auto" w:fill="auto"/>
            <w:vAlign w:val="center"/>
          </w:tcPr>
          <w:p w14:paraId="534D37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450F2D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办案差旅次数</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338225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551B97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010323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71D2D6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1E2817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5050A9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36" w:type="dxa"/>
            <w:tcBorders>
              <w:top w:val="single" w:color="000000" w:sz="4" w:space="0"/>
              <w:left w:val="single" w:color="000000" w:sz="4" w:space="0"/>
              <w:bottom w:val="nil"/>
              <w:right w:val="single" w:color="000000" w:sz="4" w:space="0"/>
            </w:tcBorders>
            <w:shd w:val="clear" w:color="auto" w:fill="auto"/>
            <w:vAlign w:val="center"/>
          </w:tcPr>
          <w:p w14:paraId="38DE73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708" w:type="dxa"/>
            <w:tcBorders>
              <w:top w:val="single" w:color="000000" w:sz="4" w:space="0"/>
              <w:left w:val="single" w:color="000000" w:sz="4" w:space="0"/>
              <w:bottom w:val="nil"/>
              <w:right w:val="single" w:color="000000" w:sz="4" w:space="0"/>
            </w:tcBorders>
            <w:shd w:val="clear" w:color="auto" w:fill="auto"/>
            <w:vAlign w:val="center"/>
          </w:tcPr>
          <w:p w14:paraId="0236E736">
            <w:pPr>
              <w:jc w:val="center"/>
              <w:rPr>
                <w:rFonts w:hint="eastAsia" w:ascii="宋体" w:hAnsi="宋体" w:eastAsia="宋体" w:cs="宋体"/>
                <w:i w:val="0"/>
                <w:iCs w:val="0"/>
                <w:color w:val="000000"/>
                <w:sz w:val="18"/>
                <w:szCs w:val="18"/>
                <w:u w:val="none"/>
              </w:rPr>
            </w:pPr>
          </w:p>
        </w:tc>
      </w:tr>
      <w:tr w14:paraId="6D576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2C568C32">
            <w:pPr>
              <w:jc w:val="center"/>
              <w:rPr>
                <w:rFonts w:hint="eastAsia" w:ascii="宋体" w:hAnsi="宋体" w:eastAsia="宋体" w:cs="宋体"/>
                <w:i w:val="0"/>
                <w:iCs w:val="0"/>
                <w:color w:val="000000"/>
                <w:sz w:val="18"/>
                <w:szCs w:val="18"/>
                <w:u w:val="none"/>
              </w:rPr>
            </w:pPr>
          </w:p>
        </w:tc>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730945EA">
            <w:pPr>
              <w:jc w:val="center"/>
              <w:rPr>
                <w:rFonts w:hint="eastAsia" w:ascii="宋体" w:hAnsi="宋体" w:eastAsia="宋体" w:cs="宋体"/>
                <w:i w:val="0"/>
                <w:iCs w:val="0"/>
                <w:color w:val="000000"/>
                <w:sz w:val="18"/>
                <w:szCs w:val="18"/>
                <w:u w:val="none"/>
              </w:rPr>
            </w:pPr>
          </w:p>
        </w:tc>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495EC4F4">
            <w:pPr>
              <w:jc w:val="center"/>
              <w:rPr>
                <w:rFonts w:hint="eastAsia" w:ascii="宋体" w:hAnsi="宋体" w:eastAsia="宋体" w:cs="宋体"/>
                <w:i w:val="0"/>
                <w:iCs w:val="0"/>
                <w:color w:val="000000"/>
                <w:sz w:val="18"/>
                <w:szCs w:val="18"/>
                <w:u w:val="none"/>
              </w:rPr>
            </w:pP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7005F3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案件承办数量</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63BDA8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6990BF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350007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27D331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2DF9B6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起</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7A67AC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636" w:type="dxa"/>
            <w:tcBorders>
              <w:top w:val="single" w:color="000000" w:sz="4" w:space="0"/>
              <w:left w:val="single" w:color="000000" w:sz="4" w:space="0"/>
              <w:bottom w:val="nil"/>
              <w:right w:val="single" w:color="000000" w:sz="4" w:space="0"/>
            </w:tcBorders>
            <w:shd w:val="clear" w:color="auto" w:fill="auto"/>
            <w:vAlign w:val="center"/>
          </w:tcPr>
          <w:p w14:paraId="2A72E8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708" w:type="dxa"/>
            <w:tcBorders>
              <w:top w:val="single" w:color="000000" w:sz="4" w:space="0"/>
              <w:left w:val="single" w:color="000000" w:sz="4" w:space="0"/>
              <w:bottom w:val="nil"/>
              <w:right w:val="single" w:color="000000" w:sz="4" w:space="0"/>
            </w:tcBorders>
            <w:shd w:val="clear" w:color="auto" w:fill="auto"/>
            <w:vAlign w:val="center"/>
          </w:tcPr>
          <w:p w14:paraId="7662A632">
            <w:pPr>
              <w:jc w:val="center"/>
              <w:rPr>
                <w:rFonts w:hint="eastAsia" w:ascii="宋体" w:hAnsi="宋体" w:eastAsia="宋体" w:cs="宋体"/>
                <w:i w:val="0"/>
                <w:iCs w:val="0"/>
                <w:color w:val="000000"/>
                <w:sz w:val="18"/>
                <w:szCs w:val="18"/>
                <w:u w:val="none"/>
              </w:rPr>
            </w:pPr>
          </w:p>
        </w:tc>
      </w:tr>
      <w:tr w14:paraId="7DE64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3EBA6387">
            <w:pPr>
              <w:jc w:val="center"/>
              <w:rPr>
                <w:rFonts w:hint="eastAsia" w:ascii="宋体" w:hAnsi="宋体" w:eastAsia="宋体" w:cs="宋体"/>
                <w:i w:val="0"/>
                <w:iCs w:val="0"/>
                <w:color w:val="000000"/>
                <w:sz w:val="18"/>
                <w:szCs w:val="18"/>
                <w:u w:val="none"/>
              </w:rPr>
            </w:pPr>
          </w:p>
        </w:tc>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73340149">
            <w:pPr>
              <w:jc w:val="center"/>
              <w:rPr>
                <w:rFonts w:hint="eastAsia" w:ascii="宋体" w:hAnsi="宋体" w:eastAsia="宋体" w:cs="宋体"/>
                <w:i w:val="0"/>
                <w:iCs w:val="0"/>
                <w:color w:val="000000"/>
                <w:sz w:val="18"/>
                <w:szCs w:val="18"/>
                <w:u w:val="none"/>
              </w:rPr>
            </w:pPr>
          </w:p>
        </w:tc>
        <w:tc>
          <w:tcPr>
            <w:tcW w:w="1708" w:type="dxa"/>
            <w:vMerge w:val="restart"/>
            <w:tcBorders>
              <w:top w:val="single" w:color="000000" w:sz="4" w:space="0"/>
              <w:left w:val="single" w:color="000000" w:sz="4" w:space="0"/>
              <w:bottom w:val="nil"/>
              <w:right w:val="single" w:color="000000" w:sz="4" w:space="0"/>
            </w:tcBorders>
            <w:shd w:val="clear" w:color="auto" w:fill="auto"/>
            <w:vAlign w:val="center"/>
          </w:tcPr>
          <w:p w14:paraId="047E69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0F8CEB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案件侦破率</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4B119F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013C0D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6BE95C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121483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2D5748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00F8C3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36" w:type="dxa"/>
            <w:tcBorders>
              <w:top w:val="single" w:color="000000" w:sz="4" w:space="0"/>
              <w:left w:val="single" w:color="000000" w:sz="4" w:space="0"/>
              <w:bottom w:val="nil"/>
              <w:right w:val="single" w:color="000000" w:sz="4" w:space="0"/>
            </w:tcBorders>
            <w:shd w:val="clear" w:color="auto" w:fill="auto"/>
            <w:vAlign w:val="center"/>
          </w:tcPr>
          <w:p w14:paraId="1E98D3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708" w:type="dxa"/>
            <w:tcBorders>
              <w:top w:val="single" w:color="000000" w:sz="4" w:space="0"/>
              <w:left w:val="single" w:color="000000" w:sz="4" w:space="0"/>
              <w:bottom w:val="nil"/>
              <w:right w:val="single" w:color="000000" w:sz="4" w:space="0"/>
            </w:tcBorders>
            <w:shd w:val="clear" w:color="auto" w:fill="auto"/>
            <w:vAlign w:val="center"/>
          </w:tcPr>
          <w:p w14:paraId="3AEF3EE8">
            <w:pPr>
              <w:jc w:val="center"/>
              <w:rPr>
                <w:rFonts w:hint="eastAsia" w:ascii="宋体" w:hAnsi="宋体" w:eastAsia="宋体" w:cs="宋体"/>
                <w:i w:val="0"/>
                <w:iCs w:val="0"/>
                <w:color w:val="000000"/>
                <w:sz w:val="18"/>
                <w:szCs w:val="18"/>
                <w:u w:val="none"/>
              </w:rPr>
            </w:pPr>
          </w:p>
        </w:tc>
      </w:tr>
      <w:tr w14:paraId="7F470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02312515">
            <w:pPr>
              <w:jc w:val="center"/>
              <w:rPr>
                <w:rFonts w:hint="eastAsia" w:ascii="宋体" w:hAnsi="宋体" w:eastAsia="宋体" w:cs="宋体"/>
                <w:i w:val="0"/>
                <w:iCs w:val="0"/>
                <w:color w:val="000000"/>
                <w:sz w:val="18"/>
                <w:szCs w:val="18"/>
                <w:u w:val="none"/>
              </w:rPr>
            </w:pPr>
          </w:p>
        </w:tc>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61D0F783">
            <w:pPr>
              <w:jc w:val="center"/>
              <w:rPr>
                <w:rFonts w:hint="eastAsia" w:ascii="宋体" w:hAnsi="宋体" w:eastAsia="宋体" w:cs="宋体"/>
                <w:i w:val="0"/>
                <w:iCs w:val="0"/>
                <w:color w:val="000000"/>
                <w:sz w:val="18"/>
                <w:szCs w:val="18"/>
                <w:u w:val="none"/>
              </w:rPr>
            </w:pPr>
          </w:p>
        </w:tc>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77212D86">
            <w:pPr>
              <w:jc w:val="center"/>
              <w:rPr>
                <w:rFonts w:hint="eastAsia" w:ascii="宋体" w:hAnsi="宋体" w:eastAsia="宋体" w:cs="宋体"/>
                <w:i w:val="0"/>
                <w:iCs w:val="0"/>
                <w:color w:val="000000"/>
                <w:sz w:val="18"/>
                <w:szCs w:val="18"/>
                <w:u w:val="none"/>
              </w:rPr>
            </w:pP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1A2984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案件线索核查率</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45BDC6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6A5051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2990FD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33518A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4BD7E7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00BCF0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636" w:type="dxa"/>
            <w:tcBorders>
              <w:top w:val="single" w:color="000000" w:sz="4" w:space="0"/>
              <w:left w:val="single" w:color="000000" w:sz="4" w:space="0"/>
              <w:bottom w:val="nil"/>
              <w:right w:val="single" w:color="000000" w:sz="4" w:space="0"/>
            </w:tcBorders>
            <w:shd w:val="clear" w:color="auto" w:fill="auto"/>
            <w:vAlign w:val="center"/>
          </w:tcPr>
          <w:p w14:paraId="600011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708" w:type="dxa"/>
            <w:tcBorders>
              <w:top w:val="single" w:color="000000" w:sz="4" w:space="0"/>
              <w:left w:val="single" w:color="000000" w:sz="4" w:space="0"/>
              <w:bottom w:val="nil"/>
              <w:right w:val="single" w:color="000000" w:sz="4" w:space="0"/>
            </w:tcBorders>
            <w:shd w:val="clear" w:color="auto" w:fill="auto"/>
            <w:vAlign w:val="center"/>
          </w:tcPr>
          <w:p w14:paraId="68A53BC2">
            <w:pPr>
              <w:jc w:val="center"/>
              <w:rPr>
                <w:rFonts w:hint="eastAsia" w:ascii="宋体" w:hAnsi="宋体" w:eastAsia="宋体" w:cs="宋体"/>
                <w:i w:val="0"/>
                <w:iCs w:val="0"/>
                <w:color w:val="000000"/>
                <w:sz w:val="18"/>
                <w:szCs w:val="18"/>
                <w:u w:val="none"/>
              </w:rPr>
            </w:pPr>
          </w:p>
        </w:tc>
      </w:tr>
      <w:tr w14:paraId="2C2A9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777626F8">
            <w:pPr>
              <w:jc w:val="center"/>
              <w:rPr>
                <w:rFonts w:hint="eastAsia" w:ascii="宋体" w:hAnsi="宋体" w:eastAsia="宋体" w:cs="宋体"/>
                <w:i w:val="0"/>
                <w:iCs w:val="0"/>
                <w:color w:val="000000"/>
                <w:sz w:val="18"/>
                <w:szCs w:val="18"/>
                <w:u w:val="none"/>
              </w:rPr>
            </w:pPr>
          </w:p>
        </w:tc>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57F238FD">
            <w:pPr>
              <w:jc w:val="center"/>
              <w:rPr>
                <w:rFonts w:hint="eastAsia" w:ascii="宋体" w:hAnsi="宋体" w:eastAsia="宋体" w:cs="宋体"/>
                <w:i w:val="0"/>
                <w:iCs w:val="0"/>
                <w:color w:val="000000"/>
                <w:sz w:val="18"/>
                <w:szCs w:val="18"/>
                <w:u w:val="none"/>
              </w:rPr>
            </w:pPr>
          </w:p>
        </w:tc>
        <w:tc>
          <w:tcPr>
            <w:tcW w:w="1708" w:type="dxa"/>
            <w:vMerge w:val="restart"/>
            <w:tcBorders>
              <w:top w:val="single" w:color="000000" w:sz="4" w:space="0"/>
              <w:left w:val="single" w:color="000000" w:sz="4" w:space="0"/>
              <w:bottom w:val="nil"/>
              <w:right w:val="single" w:color="000000" w:sz="4" w:space="0"/>
            </w:tcBorders>
            <w:shd w:val="clear" w:color="auto" w:fill="auto"/>
            <w:vAlign w:val="center"/>
          </w:tcPr>
          <w:p w14:paraId="36D974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106CF2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案件立案完成时间</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77E48C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21E2F5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61338F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61E1FA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081BA2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日</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11C7A8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636" w:type="dxa"/>
            <w:tcBorders>
              <w:top w:val="single" w:color="000000" w:sz="4" w:space="0"/>
              <w:left w:val="single" w:color="000000" w:sz="4" w:space="0"/>
              <w:bottom w:val="nil"/>
              <w:right w:val="single" w:color="000000" w:sz="4" w:space="0"/>
            </w:tcBorders>
            <w:shd w:val="clear" w:color="auto" w:fill="auto"/>
            <w:vAlign w:val="center"/>
          </w:tcPr>
          <w:p w14:paraId="5C2CFC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708" w:type="dxa"/>
            <w:tcBorders>
              <w:top w:val="single" w:color="000000" w:sz="4" w:space="0"/>
              <w:left w:val="single" w:color="000000" w:sz="4" w:space="0"/>
              <w:bottom w:val="nil"/>
              <w:right w:val="single" w:color="000000" w:sz="4" w:space="0"/>
            </w:tcBorders>
            <w:shd w:val="clear" w:color="auto" w:fill="auto"/>
            <w:vAlign w:val="center"/>
          </w:tcPr>
          <w:p w14:paraId="61C96833">
            <w:pPr>
              <w:jc w:val="center"/>
              <w:rPr>
                <w:rFonts w:hint="eastAsia" w:ascii="宋体" w:hAnsi="宋体" w:eastAsia="宋体" w:cs="宋体"/>
                <w:i w:val="0"/>
                <w:iCs w:val="0"/>
                <w:color w:val="000000"/>
                <w:sz w:val="18"/>
                <w:szCs w:val="18"/>
                <w:u w:val="none"/>
              </w:rPr>
            </w:pPr>
          </w:p>
        </w:tc>
      </w:tr>
      <w:tr w14:paraId="6A865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473122C7">
            <w:pPr>
              <w:jc w:val="center"/>
              <w:rPr>
                <w:rFonts w:hint="eastAsia" w:ascii="宋体" w:hAnsi="宋体" w:eastAsia="宋体" w:cs="宋体"/>
                <w:i w:val="0"/>
                <w:iCs w:val="0"/>
                <w:color w:val="000000"/>
                <w:sz w:val="18"/>
                <w:szCs w:val="18"/>
                <w:u w:val="none"/>
              </w:rPr>
            </w:pPr>
          </w:p>
        </w:tc>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2305AFB6">
            <w:pPr>
              <w:jc w:val="center"/>
              <w:rPr>
                <w:rFonts w:hint="eastAsia" w:ascii="宋体" w:hAnsi="宋体" w:eastAsia="宋体" w:cs="宋体"/>
                <w:i w:val="0"/>
                <w:iCs w:val="0"/>
                <w:color w:val="000000"/>
                <w:sz w:val="18"/>
                <w:szCs w:val="18"/>
                <w:u w:val="none"/>
              </w:rPr>
            </w:pPr>
          </w:p>
        </w:tc>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6224013B">
            <w:pPr>
              <w:jc w:val="center"/>
              <w:rPr>
                <w:rFonts w:hint="eastAsia" w:ascii="宋体" w:hAnsi="宋体" w:eastAsia="宋体" w:cs="宋体"/>
                <w:i w:val="0"/>
                <w:iCs w:val="0"/>
                <w:color w:val="000000"/>
                <w:sz w:val="18"/>
                <w:szCs w:val="18"/>
                <w:u w:val="none"/>
              </w:rPr>
            </w:pP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75B089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案件侦破时间</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1C8B8F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4F92C9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216FD3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534D9E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0A8A0D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日</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1E5E8B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636" w:type="dxa"/>
            <w:tcBorders>
              <w:top w:val="single" w:color="000000" w:sz="4" w:space="0"/>
              <w:left w:val="single" w:color="000000" w:sz="4" w:space="0"/>
              <w:bottom w:val="nil"/>
              <w:right w:val="single" w:color="000000" w:sz="4" w:space="0"/>
            </w:tcBorders>
            <w:shd w:val="clear" w:color="auto" w:fill="auto"/>
            <w:vAlign w:val="center"/>
          </w:tcPr>
          <w:p w14:paraId="5043CC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708" w:type="dxa"/>
            <w:tcBorders>
              <w:top w:val="single" w:color="000000" w:sz="4" w:space="0"/>
              <w:left w:val="single" w:color="000000" w:sz="4" w:space="0"/>
              <w:bottom w:val="nil"/>
              <w:right w:val="single" w:color="000000" w:sz="4" w:space="0"/>
            </w:tcBorders>
            <w:shd w:val="clear" w:color="auto" w:fill="auto"/>
            <w:vAlign w:val="center"/>
          </w:tcPr>
          <w:p w14:paraId="003D48D0">
            <w:pPr>
              <w:jc w:val="center"/>
              <w:rPr>
                <w:rFonts w:hint="eastAsia" w:ascii="宋体" w:hAnsi="宋体" w:eastAsia="宋体" w:cs="宋体"/>
                <w:i w:val="0"/>
                <w:iCs w:val="0"/>
                <w:color w:val="000000"/>
                <w:sz w:val="18"/>
                <w:szCs w:val="18"/>
                <w:u w:val="none"/>
              </w:rPr>
            </w:pPr>
          </w:p>
        </w:tc>
      </w:tr>
      <w:tr w14:paraId="402E6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4A5B516E">
            <w:pPr>
              <w:jc w:val="center"/>
              <w:rPr>
                <w:rFonts w:hint="eastAsia" w:ascii="宋体" w:hAnsi="宋体" w:eastAsia="宋体" w:cs="宋体"/>
                <w:i w:val="0"/>
                <w:iCs w:val="0"/>
                <w:color w:val="000000"/>
                <w:sz w:val="18"/>
                <w:szCs w:val="18"/>
                <w:u w:val="none"/>
              </w:rPr>
            </w:pPr>
          </w:p>
        </w:tc>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6367C30C">
            <w:pPr>
              <w:jc w:val="center"/>
              <w:rPr>
                <w:rFonts w:hint="eastAsia" w:ascii="宋体" w:hAnsi="宋体" w:eastAsia="宋体" w:cs="宋体"/>
                <w:i w:val="0"/>
                <w:iCs w:val="0"/>
                <w:color w:val="000000"/>
                <w:sz w:val="18"/>
                <w:szCs w:val="18"/>
                <w:u w:val="none"/>
              </w:rPr>
            </w:pPr>
          </w:p>
        </w:tc>
        <w:tc>
          <w:tcPr>
            <w:tcW w:w="1708" w:type="dxa"/>
            <w:vMerge w:val="restart"/>
            <w:tcBorders>
              <w:top w:val="single" w:color="000000" w:sz="4" w:space="0"/>
              <w:left w:val="single" w:color="000000" w:sz="4" w:space="0"/>
              <w:bottom w:val="nil"/>
              <w:right w:val="single" w:color="000000" w:sz="4" w:space="0"/>
            </w:tcBorders>
            <w:shd w:val="clear" w:color="auto" w:fill="auto"/>
            <w:vAlign w:val="center"/>
          </w:tcPr>
          <w:p w14:paraId="77FF43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393717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办案差旅支出成本</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3F1679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4379C7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4F1374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2B8CFE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45AC04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4A00CC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636" w:type="dxa"/>
            <w:tcBorders>
              <w:top w:val="single" w:color="000000" w:sz="4" w:space="0"/>
              <w:left w:val="single" w:color="000000" w:sz="4" w:space="0"/>
              <w:bottom w:val="nil"/>
              <w:right w:val="single" w:color="000000" w:sz="4" w:space="0"/>
            </w:tcBorders>
            <w:shd w:val="clear" w:color="auto" w:fill="auto"/>
            <w:vAlign w:val="center"/>
          </w:tcPr>
          <w:p w14:paraId="172E35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708" w:type="dxa"/>
            <w:tcBorders>
              <w:top w:val="single" w:color="000000" w:sz="4" w:space="0"/>
              <w:left w:val="single" w:color="000000" w:sz="4" w:space="0"/>
              <w:bottom w:val="nil"/>
              <w:right w:val="single" w:color="000000" w:sz="4" w:space="0"/>
            </w:tcBorders>
            <w:shd w:val="clear" w:color="auto" w:fill="auto"/>
            <w:vAlign w:val="center"/>
          </w:tcPr>
          <w:p w14:paraId="441DF2E9">
            <w:pPr>
              <w:jc w:val="center"/>
              <w:rPr>
                <w:rFonts w:hint="eastAsia" w:ascii="宋体" w:hAnsi="宋体" w:eastAsia="宋体" w:cs="宋体"/>
                <w:i w:val="0"/>
                <w:iCs w:val="0"/>
                <w:color w:val="000000"/>
                <w:sz w:val="18"/>
                <w:szCs w:val="18"/>
                <w:u w:val="none"/>
              </w:rPr>
            </w:pPr>
          </w:p>
        </w:tc>
      </w:tr>
      <w:tr w14:paraId="38D8E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5B60E48C">
            <w:pPr>
              <w:jc w:val="center"/>
              <w:rPr>
                <w:rFonts w:hint="eastAsia" w:ascii="宋体" w:hAnsi="宋体" w:eastAsia="宋体" w:cs="宋体"/>
                <w:i w:val="0"/>
                <w:iCs w:val="0"/>
                <w:color w:val="000000"/>
                <w:sz w:val="18"/>
                <w:szCs w:val="18"/>
                <w:u w:val="none"/>
              </w:rPr>
            </w:pPr>
          </w:p>
        </w:tc>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7682AF78">
            <w:pPr>
              <w:jc w:val="center"/>
              <w:rPr>
                <w:rFonts w:hint="eastAsia" w:ascii="宋体" w:hAnsi="宋体" w:eastAsia="宋体" w:cs="宋体"/>
                <w:i w:val="0"/>
                <w:iCs w:val="0"/>
                <w:color w:val="000000"/>
                <w:sz w:val="18"/>
                <w:szCs w:val="18"/>
                <w:u w:val="none"/>
              </w:rPr>
            </w:pPr>
          </w:p>
        </w:tc>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0AC6F247">
            <w:pPr>
              <w:jc w:val="center"/>
              <w:rPr>
                <w:rFonts w:hint="eastAsia" w:ascii="宋体" w:hAnsi="宋体" w:eastAsia="宋体" w:cs="宋体"/>
                <w:i w:val="0"/>
                <w:iCs w:val="0"/>
                <w:color w:val="000000"/>
                <w:sz w:val="18"/>
                <w:szCs w:val="18"/>
                <w:u w:val="none"/>
              </w:rPr>
            </w:pP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0AC389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案件侦办分析研判支出成本</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3A9CA9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3B2ECB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2BB8F7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64F0AF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49DEE3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59B80E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636" w:type="dxa"/>
            <w:tcBorders>
              <w:top w:val="single" w:color="000000" w:sz="4" w:space="0"/>
              <w:left w:val="single" w:color="000000" w:sz="4" w:space="0"/>
              <w:bottom w:val="nil"/>
              <w:right w:val="single" w:color="000000" w:sz="4" w:space="0"/>
            </w:tcBorders>
            <w:shd w:val="clear" w:color="auto" w:fill="auto"/>
            <w:vAlign w:val="center"/>
          </w:tcPr>
          <w:p w14:paraId="384291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708" w:type="dxa"/>
            <w:tcBorders>
              <w:top w:val="single" w:color="000000" w:sz="4" w:space="0"/>
              <w:left w:val="single" w:color="000000" w:sz="4" w:space="0"/>
              <w:bottom w:val="nil"/>
              <w:right w:val="single" w:color="000000" w:sz="4" w:space="0"/>
            </w:tcBorders>
            <w:shd w:val="clear" w:color="auto" w:fill="auto"/>
            <w:vAlign w:val="center"/>
          </w:tcPr>
          <w:p w14:paraId="17B18EBE">
            <w:pPr>
              <w:jc w:val="center"/>
              <w:rPr>
                <w:rFonts w:hint="eastAsia" w:ascii="宋体" w:hAnsi="宋体" w:eastAsia="宋体" w:cs="宋体"/>
                <w:i w:val="0"/>
                <w:iCs w:val="0"/>
                <w:color w:val="000000"/>
                <w:sz w:val="18"/>
                <w:szCs w:val="18"/>
                <w:u w:val="none"/>
              </w:rPr>
            </w:pPr>
          </w:p>
        </w:tc>
      </w:tr>
      <w:tr w14:paraId="70271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1B695B2E">
            <w:pPr>
              <w:jc w:val="center"/>
              <w:rPr>
                <w:rFonts w:hint="eastAsia" w:ascii="宋体" w:hAnsi="宋体" w:eastAsia="宋体" w:cs="宋体"/>
                <w:i w:val="0"/>
                <w:iCs w:val="0"/>
                <w:color w:val="000000"/>
                <w:sz w:val="18"/>
                <w:szCs w:val="18"/>
                <w:u w:val="none"/>
              </w:rPr>
            </w:pPr>
          </w:p>
        </w:tc>
        <w:tc>
          <w:tcPr>
            <w:tcW w:w="1708" w:type="dxa"/>
            <w:vMerge w:val="restart"/>
            <w:tcBorders>
              <w:top w:val="single" w:color="000000" w:sz="4" w:space="0"/>
              <w:left w:val="single" w:color="000000" w:sz="4" w:space="0"/>
              <w:bottom w:val="nil"/>
              <w:right w:val="single" w:color="000000" w:sz="4" w:space="0"/>
            </w:tcBorders>
            <w:shd w:val="clear" w:color="auto" w:fill="auto"/>
            <w:vAlign w:val="center"/>
          </w:tcPr>
          <w:p w14:paraId="2331E3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708" w:type="dxa"/>
            <w:tcBorders>
              <w:top w:val="single" w:color="000000" w:sz="4" w:space="0"/>
              <w:left w:val="single" w:color="000000" w:sz="4" w:space="0"/>
              <w:bottom w:val="nil"/>
              <w:right w:val="single" w:color="000000" w:sz="4" w:space="0"/>
            </w:tcBorders>
            <w:shd w:val="clear" w:color="auto" w:fill="auto"/>
            <w:vAlign w:val="center"/>
          </w:tcPr>
          <w:p w14:paraId="53009E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75836F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打击犯罪维护林区社会稳定</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5667BB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10CE40C0">
            <w:pPr>
              <w:jc w:val="center"/>
              <w:rPr>
                <w:rFonts w:hint="eastAsia" w:ascii="宋体" w:hAnsi="宋体" w:eastAsia="宋体" w:cs="宋体"/>
                <w:i w:val="0"/>
                <w:iCs w:val="0"/>
                <w:color w:val="000000"/>
                <w:sz w:val="18"/>
                <w:szCs w:val="18"/>
                <w:u w:val="none"/>
              </w:rPr>
            </w:pP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4AB4FC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有效打击</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3816C2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有效打击</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00657CE1">
            <w:pPr>
              <w:jc w:val="center"/>
              <w:rPr>
                <w:rFonts w:hint="eastAsia" w:ascii="宋体" w:hAnsi="宋体" w:eastAsia="宋体" w:cs="宋体"/>
                <w:i w:val="0"/>
                <w:iCs w:val="0"/>
                <w:color w:val="000000"/>
                <w:sz w:val="18"/>
                <w:szCs w:val="18"/>
                <w:u w:val="none"/>
              </w:rPr>
            </w:pP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63B640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36" w:type="dxa"/>
            <w:tcBorders>
              <w:top w:val="single" w:color="000000" w:sz="4" w:space="0"/>
              <w:left w:val="single" w:color="000000" w:sz="4" w:space="0"/>
              <w:bottom w:val="nil"/>
              <w:right w:val="single" w:color="000000" w:sz="4" w:space="0"/>
            </w:tcBorders>
            <w:shd w:val="clear" w:color="auto" w:fill="auto"/>
            <w:vAlign w:val="center"/>
          </w:tcPr>
          <w:p w14:paraId="3F5BD6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708" w:type="dxa"/>
            <w:tcBorders>
              <w:top w:val="single" w:color="000000" w:sz="4" w:space="0"/>
              <w:left w:val="single" w:color="000000" w:sz="4" w:space="0"/>
              <w:bottom w:val="nil"/>
              <w:right w:val="single" w:color="000000" w:sz="4" w:space="0"/>
            </w:tcBorders>
            <w:shd w:val="clear" w:color="auto" w:fill="auto"/>
            <w:vAlign w:val="center"/>
          </w:tcPr>
          <w:p w14:paraId="3655D8D1">
            <w:pPr>
              <w:jc w:val="center"/>
              <w:rPr>
                <w:rFonts w:hint="eastAsia" w:ascii="宋体" w:hAnsi="宋体" w:eastAsia="宋体" w:cs="宋体"/>
                <w:i w:val="0"/>
                <w:iCs w:val="0"/>
                <w:color w:val="000000"/>
                <w:sz w:val="18"/>
                <w:szCs w:val="18"/>
                <w:u w:val="none"/>
              </w:rPr>
            </w:pPr>
          </w:p>
        </w:tc>
      </w:tr>
      <w:tr w14:paraId="7ADFE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4E27FFE7">
            <w:pPr>
              <w:jc w:val="center"/>
              <w:rPr>
                <w:rFonts w:hint="eastAsia" w:ascii="宋体" w:hAnsi="宋体" w:eastAsia="宋体" w:cs="宋体"/>
                <w:i w:val="0"/>
                <w:iCs w:val="0"/>
                <w:color w:val="000000"/>
                <w:sz w:val="18"/>
                <w:szCs w:val="18"/>
                <w:u w:val="none"/>
              </w:rPr>
            </w:pPr>
          </w:p>
        </w:tc>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213D21C9">
            <w:pPr>
              <w:jc w:val="center"/>
              <w:rPr>
                <w:rFonts w:hint="eastAsia" w:ascii="宋体" w:hAnsi="宋体" w:eastAsia="宋体" w:cs="宋体"/>
                <w:i w:val="0"/>
                <w:iCs w:val="0"/>
                <w:color w:val="000000"/>
                <w:sz w:val="18"/>
                <w:szCs w:val="18"/>
                <w:u w:val="none"/>
              </w:rPr>
            </w:pPr>
          </w:p>
        </w:tc>
        <w:tc>
          <w:tcPr>
            <w:tcW w:w="1708" w:type="dxa"/>
            <w:tcBorders>
              <w:top w:val="single" w:color="000000" w:sz="4" w:space="0"/>
              <w:left w:val="single" w:color="000000" w:sz="4" w:space="0"/>
              <w:bottom w:val="nil"/>
              <w:right w:val="single" w:color="000000" w:sz="4" w:space="0"/>
            </w:tcBorders>
            <w:shd w:val="clear" w:color="auto" w:fill="auto"/>
            <w:vAlign w:val="center"/>
          </w:tcPr>
          <w:p w14:paraId="27250C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533AC5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保障林地野生动植物资源不受侵害</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6769B1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1D52CE79">
            <w:pPr>
              <w:jc w:val="center"/>
              <w:rPr>
                <w:rFonts w:hint="eastAsia" w:ascii="宋体" w:hAnsi="宋体" w:eastAsia="宋体" w:cs="宋体"/>
                <w:i w:val="0"/>
                <w:iCs w:val="0"/>
                <w:color w:val="000000"/>
                <w:sz w:val="18"/>
                <w:szCs w:val="18"/>
                <w:u w:val="none"/>
              </w:rPr>
            </w:pP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2DFE0D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有效保障</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6E1C79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有效保障</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0E685B71">
            <w:pPr>
              <w:jc w:val="center"/>
              <w:rPr>
                <w:rFonts w:hint="eastAsia" w:ascii="宋体" w:hAnsi="宋体" w:eastAsia="宋体" w:cs="宋体"/>
                <w:i w:val="0"/>
                <w:iCs w:val="0"/>
                <w:color w:val="000000"/>
                <w:sz w:val="18"/>
                <w:szCs w:val="18"/>
                <w:u w:val="none"/>
              </w:rPr>
            </w:pP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52708C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36" w:type="dxa"/>
            <w:tcBorders>
              <w:top w:val="single" w:color="000000" w:sz="4" w:space="0"/>
              <w:left w:val="single" w:color="000000" w:sz="4" w:space="0"/>
              <w:bottom w:val="nil"/>
              <w:right w:val="single" w:color="000000" w:sz="4" w:space="0"/>
            </w:tcBorders>
            <w:shd w:val="clear" w:color="auto" w:fill="auto"/>
            <w:vAlign w:val="center"/>
          </w:tcPr>
          <w:p w14:paraId="06DA36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708" w:type="dxa"/>
            <w:tcBorders>
              <w:top w:val="single" w:color="000000" w:sz="4" w:space="0"/>
              <w:left w:val="single" w:color="000000" w:sz="4" w:space="0"/>
              <w:bottom w:val="nil"/>
              <w:right w:val="single" w:color="000000" w:sz="4" w:space="0"/>
            </w:tcBorders>
            <w:shd w:val="clear" w:color="auto" w:fill="auto"/>
            <w:vAlign w:val="center"/>
          </w:tcPr>
          <w:p w14:paraId="2CCF3223">
            <w:pPr>
              <w:jc w:val="center"/>
              <w:rPr>
                <w:rFonts w:hint="eastAsia" w:ascii="宋体" w:hAnsi="宋体" w:eastAsia="宋体" w:cs="宋体"/>
                <w:i w:val="0"/>
                <w:iCs w:val="0"/>
                <w:color w:val="000000"/>
                <w:sz w:val="18"/>
                <w:szCs w:val="18"/>
                <w:u w:val="none"/>
              </w:rPr>
            </w:pPr>
          </w:p>
        </w:tc>
      </w:tr>
      <w:tr w14:paraId="2ADF0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335A5BA6">
            <w:pPr>
              <w:jc w:val="center"/>
              <w:rPr>
                <w:rFonts w:hint="eastAsia" w:ascii="宋体" w:hAnsi="宋体" w:eastAsia="宋体" w:cs="宋体"/>
                <w:i w:val="0"/>
                <w:iCs w:val="0"/>
                <w:color w:val="000000"/>
                <w:sz w:val="18"/>
                <w:szCs w:val="18"/>
                <w:u w:val="none"/>
              </w:rPr>
            </w:pPr>
          </w:p>
        </w:tc>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2A70EFAE">
            <w:pPr>
              <w:jc w:val="center"/>
              <w:rPr>
                <w:rFonts w:hint="eastAsia" w:ascii="宋体" w:hAnsi="宋体" w:eastAsia="宋体" w:cs="宋体"/>
                <w:i w:val="0"/>
                <w:iCs w:val="0"/>
                <w:color w:val="000000"/>
                <w:sz w:val="18"/>
                <w:szCs w:val="18"/>
                <w:u w:val="none"/>
              </w:rPr>
            </w:pPr>
          </w:p>
        </w:tc>
        <w:tc>
          <w:tcPr>
            <w:tcW w:w="1708" w:type="dxa"/>
            <w:tcBorders>
              <w:top w:val="single" w:color="000000" w:sz="4" w:space="0"/>
              <w:left w:val="single" w:color="000000" w:sz="4" w:space="0"/>
              <w:bottom w:val="nil"/>
              <w:right w:val="single" w:color="000000" w:sz="4" w:space="0"/>
            </w:tcBorders>
            <w:shd w:val="clear" w:color="auto" w:fill="auto"/>
            <w:vAlign w:val="center"/>
          </w:tcPr>
          <w:p w14:paraId="463CF9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2B10FC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持续提升北部原始林区分局警务工作水平</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1184C1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40D87241">
            <w:pPr>
              <w:jc w:val="center"/>
              <w:rPr>
                <w:rFonts w:hint="eastAsia" w:ascii="宋体" w:hAnsi="宋体" w:eastAsia="宋体" w:cs="宋体"/>
                <w:i w:val="0"/>
                <w:iCs w:val="0"/>
                <w:color w:val="000000"/>
                <w:sz w:val="18"/>
                <w:szCs w:val="18"/>
                <w:u w:val="none"/>
              </w:rPr>
            </w:pP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2CFE8D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持续提升</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583420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持续提升</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71D36C37">
            <w:pPr>
              <w:jc w:val="center"/>
              <w:rPr>
                <w:rFonts w:hint="eastAsia" w:ascii="宋体" w:hAnsi="宋体" w:eastAsia="宋体" w:cs="宋体"/>
                <w:i w:val="0"/>
                <w:iCs w:val="0"/>
                <w:color w:val="000000"/>
                <w:sz w:val="18"/>
                <w:szCs w:val="18"/>
                <w:u w:val="none"/>
              </w:rPr>
            </w:pP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398FF3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36" w:type="dxa"/>
            <w:tcBorders>
              <w:top w:val="single" w:color="000000" w:sz="4" w:space="0"/>
              <w:left w:val="single" w:color="000000" w:sz="4" w:space="0"/>
              <w:bottom w:val="nil"/>
              <w:right w:val="single" w:color="000000" w:sz="4" w:space="0"/>
            </w:tcBorders>
            <w:shd w:val="clear" w:color="auto" w:fill="auto"/>
            <w:vAlign w:val="center"/>
          </w:tcPr>
          <w:p w14:paraId="40ACFE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708" w:type="dxa"/>
            <w:tcBorders>
              <w:top w:val="single" w:color="000000" w:sz="4" w:space="0"/>
              <w:left w:val="single" w:color="000000" w:sz="4" w:space="0"/>
              <w:bottom w:val="nil"/>
              <w:right w:val="single" w:color="000000" w:sz="4" w:space="0"/>
            </w:tcBorders>
            <w:shd w:val="clear" w:color="auto" w:fill="auto"/>
            <w:vAlign w:val="center"/>
          </w:tcPr>
          <w:p w14:paraId="438DA62F">
            <w:pPr>
              <w:jc w:val="center"/>
              <w:rPr>
                <w:rFonts w:hint="eastAsia" w:ascii="宋体" w:hAnsi="宋体" w:eastAsia="宋体" w:cs="宋体"/>
                <w:i w:val="0"/>
                <w:iCs w:val="0"/>
                <w:color w:val="000000"/>
                <w:sz w:val="18"/>
                <w:szCs w:val="18"/>
                <w:u w:val="none"/>
              </w:rPr>
            </w:pPr>
          </w:p>
        </w:tc>
      </w:tr>
      <w:tr w14:paraId="11883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5BC2E029">
            <w:pPr>
              <w:jc w:val="center"/>
              <w:rPr>
                <w:rFonts w:hint="eastAsia" w:ascii="宋体" w:hAnsi="宋体" w:eastAsia="宋体" w:cs="宋体"/>
                <w:i w:val="0"/>
                <w:iCs w:val="0"/>
                <w:color w:val="000000"/>
                <w:sz w:val="18"/>
                <w:szCs w:val="18"/>
                <w:u w:val="none"/>
              </w:rPr>
            </w:pPr>
          </w:p>
        </w:tc>
        <w:tc>
          <w:tcPr>
            <w:tcW w:w="1708" w:type="dxa"/>
            <w:tcBorders>
              <w:top w:val="single" w:color="000000" w:sz="4" w:space="0"/>
              <w:left w:val="single" w:color="000000" w:sz="4" w:space="0"/>
              <w:bottom w:val="nil"/>
              <w:right w:val="single" w:color="000000" w:sz="4" w:space="0"/>
            </w:tcBorders>
            <w:shd w:val="clear" w:color="auto" w:fill="auto"/>
            <w:vAlign w:val="center"/>
          </w:tcPr>
          <w:p w14:paraId="64D4AD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708" w:type="dxa"/>
            <w:tcBorders>
              <w:top w:val="single" w:color="000000" w:sz="4" w:space="0"/>
              <w:left w:val="single" w:color="000000" w:sz="4" w:space="0"/>
              <w:bottom w:val="nil"/>
              <w:right w:val="single" w:color="000000" w:sz="4" w:space="0"/>
            </w:tcBorders>
            <w:shd w:val="clear" w:color="auto" w:fill="auto"/>
            <w:vAlign w:val="center"/>
          </w:tcPr>
          <w:p w14:paraId="47F211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1AB8EB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办案人员满意度</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0D2FAC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6C748D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4F11D2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4C1820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648CB6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153D04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36" w:type="dxa"/>
            <w:tcBorders>
              <w:top w:val="single" w:color="000000" w:sz="4" w:space="0"/>
              <w:left w:val="single" w:color="000000" w:sz="4" w:space="0"/>
              <w:bottom w:val="nil"/>
              <w:right w:val="single" w:color="000000" w:sz="4" w:space="0"/>
            </w:tcBorders>
            <w:shd w:val="clear" w:color="auto" w:fill="auto"/>
            <w:vAlign w:val="center"/>
          </w:tcPr>
          <w:p w14:paraId="19FCE6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708" w:type="dxa"/>
            <w:tcBorders>
              <w:top w:val="single" w:color="000000" w:sz="4" w:space="0"/>
              <w:left w:val="single" w:color="000000" w:sz="4" w:space="0"/>
              <w:bottom w:val="nil"/>
              <w:right w:val="single" w:color="000000" w:sz="4" w:space="0"/>
            </w:tcBorders>
            <w:shd w:val="clear" w:color="auto" w:fill="auto"/>
            <w:vAlign w:val="center"/>
          </w:tcPr>
          <w:p w14:paraId="139FD93E">
            <w:pPr>
              <w:jc w:val="center"/>
              <w:rPr>
                <w:rFonts w:hint="eastAsia" w:ascii="宋体" w:hAnsi="宋体" w:eastAsia="宋体" w:cs="宋体"/>
                <w:i w:val="0"/>
                <w:iCs w:val="0"/>
                <w:color w:val="000000"/>
                <w:sz w:val="18"/>
                <w:szCs w:val="18"/>
                <w:u w:val="none"/>
              </w:rPr>
            </w:pPr>
          </w:p>
        </w:tc>
      </w:tr>
      <w:tr w14:paraId="3E663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1459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B7B39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D37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FFC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50BCA">
            <w:pPr>
              <w:jc w:val="center"/>
              <w:rPr>
                <w:rFonts w:hint="eastAsia" w:ascii="宋体" w:hAnsi="宋体" w:eastAsia="宋体" w:cs="宋体"/>
                <w:i w:val="0"/>
                <w:iCs w:val="0"/>
                <w:color w:val="000000"/>
                <w:sz w:val="18"/>
                <w:szCs w:val="18"/>
                <w:u w:val="none"/>
              </w:rPr>
            </w:pPr>
          </w:p>
        </w:tc>
      </w:tr>
    </w:tbl>
    <w:p w14:paraId="44B80ED6">
      <w:pPr>
        <w:pStyle w:val="29"/>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p>
    <w:tbl>
      <w:tblPr>
        <w:tblStyle w:val="19"/>
        <w:tblW w:w="8504"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97"/>
        <w:gridCol w:w="597"/>
        <w:gridCol w:w="749"/>
        <w:gridCol w:w="577"/>
        <w:gridCol w:w="577"/>
        <w:gridCol w:w="577"/>
        <w:gridCol w:w="730"/>
        <w:gridCol w:w="806"/>
        <w:gridCol w:w="746"/>
        <w:gridCol w:w="653"/>
        <w:gridCol w:w="814"/>
        <w:gridCol w:w="1081"/>
      </w:tblGrid>
      <w:tr w14:paraId="64A07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2157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16988541">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项目支出绩效自评表</w:t>
            </w:r>
            <w:r>
              <w:rPr>
                <w:rFonts w:hint="eastAsia" w:ascii="宋体" w:hAnsi="宋体" w:eastAsia="宋体" w:cs="宋体"/>
                <w:b/>
                <w:bCs/>
                <w:i w:val="0"/>
                <w:iCs w:val="0"/>
                <w:color w:val="000000"/>
                <w:kern w:val="0"/>
                <w:sz w:val="40"/>
                <w:szCs w:val="40"/>
                <w:u w:val="none"/>
                <w:lang w:val="en-US" w:eastAsia="zh-CN" w:bidi="ar"/>
              </w:rPr>
              <w:br w:type="textWrapping"/>
            </w:r>
            <w:r>
              <w:rPr>
                <w:rFonts w:hint="eastAsia" w:ascii="宋体" w:hAnsi="宋体" w:eastAsia="宋体" w:cs="宋体"/>
                <w:b/>
                <w:bCs/>
                <w:i w:val="0"/>
                <w:iCs w:val="0"/>
                <w:color w:val="000000"/>
                <w:kern w:val="0"/>
                <w:sz w:val="40"/>
                <w:szCs w:val="40"/>
                <w:u w:val="none"/>
                <w:lang w:val="en-US" w:eastAsia="zh-CN" w:bidi="ar"/>
              </w:rPr>
              <w:t>(2025年度）</w:t>
            </w:r>
          </w:p>
        </w:tc>
      </w:tr>
      <w:tr w14:paraId="3C14C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34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03F878">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1815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F4049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公安专用装备购置与设施购建</w:t>
            </w:r>
          </w:p>
        </w:tc>
      </w:tr>
      <w:tr w14:paraId="7E6054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34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644B57">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64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C6D2E5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内蒙古自治区公安厅部门</w:t>
            </w:r>
          </w:p>
        </w:tc>
        <w:tc>
          <w:tcPr>
            <w:tcW w:w="3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31BF9A">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855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23984B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内蒙古大兴安岭森林公安局北部原始林区分局</w:t>
            </w:r>
          </w:p>
        </w:tc>
      </w:tr>
      <w:tr w14:paraId="55FCA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34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E84C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8EA44">
            <w:pPr>
              <w:rPr>
                <w:rFonts w:hint="eastAsia" w:ascii="宋体" w:hAnsi="宋体" w:eastAsia="宋体" w:cs="宋体"/>
                <w:i w:val="0"/>
                <w:iCs w:val="0"/>
                <w:color w:val="000000"/>
                <w:sz w:val="18"/>
                <w:szCs w:val="18"/>
                <w:u w:val="none"/>
              </w:rPr>
            </w:pP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9F1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3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D03E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3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642A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AC0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32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6616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3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A5A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14:paraId="3ABF9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34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E73AB8">
            <w:pPr>
              <w:jc w:val="center"/>
              <w:rPr>
                <w:rFonts w:hint="eastAsia" w:ascii="宋体" w:hAnsi="宋体" w:eastAsia="宋体" w:cs="宋体"/>
                <w:i w:val="0"/>
                <w:iCs w:val="0"/>
                <w:color w:val="000000"/>
                <w:sz w:val="18"/>
                <w:szCs w:val="18"/>
                <w:u w:val="none"/>
              </w:rPr>
            </w:pP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472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074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F1BB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D6AA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9BD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BB58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03E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14:paraId="6758F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34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7A5BA7">
            <w:pPr>
              <w:jc w:val="center"/>
              <w:rPr>
                <w:rFonts w:hint="eastAsia" w:ascii="宋体" w:hAnsi="宋体" w:eastAsia="宋体" w:cs="宋体"/>
                <w:i w:val="0"/>
                <w:iCs w:val="0"/>
                <w:color w:val="000000"/>
                <w:sz w:val="18"/>
                <w:szCs w:val="18"/>
                <w:u w:val="none"/>
              </w:rPr>
            </w:pP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918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6E64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0901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C476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9D4CA">
            <w:pPr>
              <w:keepNext w:val="0"/>
              <w:keepLines w:val="0"/>
              <w:widowControl/>
              <w:suppressLineNumbers w:val="0"/>
              <w:jc w:val="center"/>
              <w:textAlignment w:val="center"/>
              <w:rPr>
                <w:rFonts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32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000C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71E53">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66C2A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34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E0DDA5">
            <w:pPr>
              <w:jc w:val="center"/>
              <w:rPr>
                <w:rFonts w:hint="eastAsia" w:ascii="宋体" w:hAnsi="宋体" w:eastAsia="宋体" w:cs="宋体"/>
                <w:i w:val="0"/>
                <w:iCs w:val="0"/>
                <w:color w:val="000000"/>
                <w:sz w:val="18"/>
                <w:szCs w:val="18"/>
                <w:u w:val="none"/>
              </w:rPr>
            </w:pP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A44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D06AE">
            <w:pPr>
              <w:rPr>
                <w:rFonts w:hint="eastAsia" w:ascii="宋体" w:hAnsi="宋体" w:eastAsia="宋体" w:cs="宋体"/>
                <w:i w:val="0"/>
                <w:iCs w:val="0"/>
                <w:color w:val="000000"/>
                <w:sz w:val="18"/>
                <w:szCs w:val="18"/>
                <w:u w:val="none"/>
              </w:rPr>
            </w:pPr>
          </w:p>
        </w:tc>
        <w:tc>
          <w:tcPr>
            <w:tcW w:w="3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8B9DD6">
            <w:pPr>
              <w:jc w:val="center"/>
              <w:rPr>
                <w:rFonts w:hint="eastAsia" w:ascii="宋体" w:hAnsi="宋体" w:eastAsia="宋体" w:cs="宋体"/>
                <w:i w:val="0"/>
                <w:iCs w:val="0"/>
                <w:color w:val="000000"/>
                <w:sz w:val="18"/>
                <w:szCs w:val="18"/>
                <w:u w:val="none"/>
              </w:rPr>
            </w:pPr>
          </w:p>
        </w:tc>
        <w:tc>
          <w:tcPr>
            <w:tcW w:w="3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E16643">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5E875">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32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1A5C9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7954B">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388CDF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34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72AC42">
            <w:pPr>
              <w:jc w:val="center"/>
              <w:rPr>
                <w:rFonts w:hint="eastAsia" w:ascii="宋体" w:hAnsi="宋体" w:eastAsia="宋体" w:cs="宋体"/>
                <w:i w:val="0"/>
                <w:iCs w:val="0"/>
                <w:color w:val="000000"/>
                <w:sz w:val="18"/>
                <w:szCs w:val="18"/>
                <w:u w:val="none"/>
              </w:rPr>
            </w:pP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DC3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A9C3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0FFE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63B8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718A0">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32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C280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8FBB0">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35626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34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0CA4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802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54A91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101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E7257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14:paraId="351DAB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34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8A57C3">
            <w:pPr>
              <w:jc w:val="center"/>
              <w:rPr>
                <w:rFonts w:hint="eastAsia" w:ascii="宋体" w:hAnsi="宋体" w:eastAsia="宋体" w:cs="宋体"/>
                <w:i w:val="0"/>
                <w:iCs w:val="0"/>
                <w:color w:val="000000"/>
                <w:sz w:val="18"/>
                <w:szCs w:val="18"/>
                <w:u w:val="none"/>
              </w:rPr>
            </w:pPr>
          </w:p>
        </w:tc>
        <w:tc>
          <w:tcPr>
            <w:tcW w:w="802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AB64FF9">
            <w:pPr>
              <w:keepNext w:val="0"/>
              <w:keepLines w:val="0"/>
              <w:widowControl/>
              <w:suppressLineNumbers w:val="0"/>
              <w:ind w:firstLine="360" w:firstLineChars="20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通过业务装备保障经费</w:t>
            </w:r>
            <w:r>
              <w:rPr>
                <w:rFonts w:hint="eastAsia" w:ascii="宋体" w:hAnsi="宋体" w:cs="宋体"/>
                <w:i w:val="0"/>
                <w:iCs w:val="0"/>
                <w:color w:val="000000"/>
                <w:kern w:val="0"/>
                <w:sz w:val="18"/>
                <w:szCs w:val="18"/>
                <w:u w:val="none"/>
                <w:lang w:val="en-US" w:eastAsia="zh-CN" w:bidi="ar"/>
              </w:rPr>
              <w:t>实施</w:t>
            </w:r>
            <w:r>
              <w:rPr>
                <w:rFonts w:hint="eastAsia" w:ascii="宋体" w:hAnsi="宋体" w:eastAsia="宋体" w:cs="宋体"/>
                <w:i w:val="0"/>
                <w:iCs w:val="0"/>
                <w:color w:val="000000"/>
                <w:kern w:val="0"/>
                <w:sz w:val="18"/>
                <w:szCs w:val="18"/>
                <w:u w:val="none"/>
                <w:lang w:val="en-US" w:eastAsia="zh-CN" w:bidi="ar"/>
              </w:rPr>
              <w:t>，结合本单位工作实际，积极购置公安专用设备，为辖区火场警戒、交通管制、治安维护、火案侦破4项职责及其他各类案件侦破提供有力保障，提高设备验收合格率，加快设备投入使用，加大执法规范化建设，进一步提高办案基础设施和现代化的技术设备使用效率，保障林地草原野生动植物资源不受侵害，增加设备使用年限，提升设备使用者对设备的满意度。</w:t>
            </w:r>
          </w:p>
        </w:tc>
        <w:tc>
          <w:tcPr>
            <w:tcW w:w="101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F190779">
            <w:pPr>
              <w:keepNext w:val="0"/>
              <w:keepLines w:val="0"/>
              <w:widowControl/>
              <w:suppressLineNumbers w:val="0"/>
              <w:ind w:firstLine="360" w:firstLineChars="20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我单位本项目标2025年预算总额为15.00万元，实际到位资金15.00万元，资金到位率达到100%。在执行过程中，实际支出15.00万元，预算执行率达到100%，为各项业务提供坚实的物质基础。经费主要用于维护辖区稳定保护生态安全及打击破坏森林资源、野生动植物资源违法犯罪，</w:t>
            </w:r>
            <w:r>
              <w:rPr>
                <w:rFonts w:hint="eastAsia" w:ascii="宋体" w:hAnsi="宋体" w:cs="宋体"/>
                <w:i w:val="0"/>
                <w:iCs w:val="0"/>
                <w:color w:val="000000"/>
                <w:kern w:val="0"/>
                <w:sz w:val="18"/>
                <w:szCs w:val="18"/>
                <w:highlight w:val="none"/>
                <w:u w:val="none"/>
                <w:lang w:val="en-US" w:eastAsia="zh-CN" w:bidi="ar"/>
              </w:rPr>
              <w:t>为</w:t>
            </w:r>
            <w:r>
              <w:rPr>
                <w:rFonts w:hint="eastAsia" w:ascii="宋体" w:hAnsi="宋体" w:eastAsia="宋体" w:cs="宋体"/>
                <w:i w:val="0"/>
                <w:iCs w:val="0"/>
                <w:color w:val="000000"/>
                <w:kern w:val="0"/>
                <w:sz w:val="18"/>
                <w:szCs w:val="18"/>
                <w:u w:val="none"/>
                <w:lang w:val="en-US" w:eastAsia="zh-CN" w:bidi="ar"/>
              </w:rPr>
              <w:t>有效的维护辖区社会政治治安稳定提供了坚强的保障，保护辖区职工群众生命财产安全履行了职责，提升了辖区人民群众满意度、幸福感和安全感。通过装备费用的投入有效的保障了北部原始林区分局各项工作顺利开展，圆满完成了各项工作任务。</w:t>
            </w:r>
          </w:p>
        </w:tc>
      </w:tr>
      <w:tr w14:paraId="03393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48C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CA3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31E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576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118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C4F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指标方向</w:t>
            </w: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6D4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319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F1D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33E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1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052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3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BBF4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14:paraId="5AF6C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1708" w:type="dxa"/>
            <w:vMerge w:val="restart"/>
            <w:tcBorders>
              <w:top w:val="single" w:color="000000" w:sz="4" w:space="0"/>
              <w:left w:val="single" w:color="000000" w:sz="4" w:space="0"/>
              <w:bottom w:val="nil"/>
              <w:right w:val="single" w:color="000000" w:sz="4" w:space="0"/>
            </w:tcBorders>
            <w:shd w:val="clear" w:color="auto" w:fill="auto"/>
            <w:vAlign w:val="center"/>
          </w:tcPr>
          <w:p w14:paraId="5547C0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1708" w:type="dxa"/>
            <w:vMerge w:val="restart"/>
            <w:tcBorders>
              <w:top w:val="single" w:color="000000" w:sz="4" w:space="0"/>
              <w:left w:val="single" w:color="000000" w:sz="4" w:space="0"/>
              <w:bottom w:val="nil"/>
              <w:right w:val="single" w:color="000000" w:sz="4" w:space="0"/>
            </w:tcBorders>
            <w:shd w:val="clear" w:color="auto" w:fill="auto"/>
            <w:vAlign w:val="center"/>
          </w:tcPr>
          <w:p w14:paraId="414455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708" w:type="dxa"/>
            <w:vMerge w:val="restart"/>
            <w:tcBorders>
              <w:top w:val="single" w:color="000000" w:sz="4" w:space="0"/>
              <w:left w:val="single" w:color="000000" w:sz="4" w:space="0"/>
              <w:bottom w:val="nil"/>
              <w:right w:val="single" w:color="000000" w:sz="4" w:space="0"/>
            </w:tcBorders>
            <w:shd w:val="clear" w:color="auto" w:fill="auto"/>
            <w:vAlign w:val="center"/>
          </w:tcPr>
          <w:p w14:paraId="7AD31F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0F45A2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执法记录仪购置数量</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099B1A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7C283F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61F2C9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0084AB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55DBB5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4B22DB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36" w:type="dxa"/>
            <w:tcBorders>
              <w:top w:val="single" w:color="000000" w:sz="4" w:space="0"/>
              <w:left w:val="single" w:color="000000" w:sz="4" w:space="0"/>
              <w:bottom w:val="nil"/>
              <w:right w:val="single" w:color="000000" w:sz="4" w:space="0"/>
            </w:tcBorders>
            <w:shd w:val="clear" w:color="auto" w:fill="auto"/>
            <w:vAlign w:val="center"/>
          </w:tcPr>
          <w:p w14:paraId="4627C3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762" w:type="dxa"/>
            <w:tcBorders>
              <w:top w:val="single" w:color="000000" w:sz="4" w:space="0"/>
              <w:left w:val="single" w:color="000000" w:sz="4" w:space="0"/>
              <w:bottom w:val="nil"/>
              <w:right w:val="single" w:color="000000" w:sz="4" w:space="0"/>
            </w:tcBorders>
            <w:shd w:val="clear" w:color="auto" w:fill="auto"/>
            <w:vAlign w:val="center"/>
          </w:tcPr>
          <w:p w14:paraId="58DE2B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我单位执法记录仪使用年限较长，大部分无法使用，急需购置大批执法记录仪，增加了购置数量。</w:t>
            </w:r>
          </w:p>
        </w:tc>
      </w:tr>
      <w:tr w14:paraId="51F41D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70AF77F5">
            <w:pPr>
              <w:jc w:val="center"/>
              <w:rPr>
                <w:rFonts w:hint="eastAsia" w:ascii="宋体" w:hAnsi="宋体" w:eastAsia="宋体" w:cs="宋体"/>
                <w:i w:val="0"/>
                <w:iCs w:val="0"/>
                <w:color w:val="000000"/>
                <w:sz w:val="18"/>
                <w:szCs w:val="18"/>
                <w:u w:val="none"/>
              </w:rPr>
            </w:pPr>
          </w:p>
        </w:tc>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49C86295">
            <w:pPr>
              <w:jc w:val="center"/>
              <w:rPr>
                <w:rFonts w:hint="eastAsia" w:ascii="宋体" w:hAnsi="宋体" w:eastAsia="宋体" w:cs="宋体"/>
                <w:i w:val="0"/>
                <w:iCs w:val="0"/>
                <w:color w:val="000000"/>
                <w:sz w:val="18"/>
                <w:szCs w:val="18"/>
                <w:u w:val="none"/>
              </w:rPr>
            </w:pPr>
          </w:p>
        </w:tc>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64E64887">
            <w:pPr>
              <w:jc w:val="center"/>
              <w:rPr>
                <w:rFonts w:hint="eastAsia" w:ascii="宋体" w:hAnsi="宋体" w:eastAsia="宋体" w:cs="宋体"/>
                <w:i w:val="0"/>
                <w:iCs w:val="0"/>
                <w:color w:val="000000"/>
                <w:sz w:val="18"/>
                <w:szCs w:val="18"/>
                <w:u w:val="none"/>
              </w:rPr>
            </w:pP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312A8A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卫星电话购置数量</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0DD46A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650274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6A98A4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014508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26D36C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16A516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636" w:type="dxa"/>
            <w:tcBorders>
              <w:top w:val="single" w:color="000000" w:sz="4" w:space="0"/>
              <w:left w:val="single" w:color="000000" w:sz="4" w:space="0"/>
              <w:bottom w:val="nil"/>
              <w:right w:val="single" w:color="000000" w:sz="4" w:space="0"/>
            </w:tcBorders>
            <w:shd w:val="clear" w:color="auto" w:fill="auto"/>
            <w:vAlign w:val="center"/>
          </w:tcPr>
          <w:p w14:paraId="49D8D3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762" w:type="dxa"/>
            <w:tcBorders>
              <w:top w:val="single" w:color="000000" w:sz="4" w:space="0"/>
              <w:left w:val="single" w:color="000000" w:sz="4" w:space="0"/>
              <w:bottom w:val="nil"/>
              <w:right w:val="single" w:color="000000" w:sz="4" w:space="0"/>
            </w:tcBorders>
            <w:shd w:val="clear" w:color="auto" w:fill="auto"/>
            <w:vAlign w:val="center"/>
          </w:tcPr>
          <w:p w14:paraId="5CBDD22C">
            <w:pPr>
              <w:jc w:val="center"/>
              <w:rPr>
                <w:rFonts w:hint="eastAsia" w:ascii="宋体" w:hAnsi="宋体" w:eastAsia="宋体" w:cs="宋体"/>
                <w:i w:val="0"/>
                <w:iCs w:val="0"/>
                <w:color w:val="000000"/>
                <w:sz w:val="18"/>
                <w:szCs w:val="18"/>
                <w:u w:val="none"/>
              </w:rPr>
            </w:pPr>
          </w:p>
        </w:tc>
      </w:tr>
      <w:tr w14:paraId="01393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3DBD327E">
            <w:pPr>
              <w:jc w:val="center"/>
              <w:rPr>
                <w:rFonts w:hint="eastAsia" w:ascii="宋体" w:hAnsi="宋体" w:eastAsia="宋体" w:cs="宋体"/>
                <w:i w:val="0"/>
                <w:iCs w:val="0"/>
                <w:color w:val="000000"/>
                <w:sz w:val="18"/>
                <w:szCs w:val="18"/>
                <w:u w:val="none"/>
              </w:rPr>
            </w:pPr>
          </w:p>
        </w:tc>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03AA2A6A">
            <w:pPr>
              <w:jc w:val="center"/>
              <w:rPr>
                <w:rFonts w:hint="eastAsia" w:ascii="宋体" w:hAnsi="宋体" w:eastAsia="宋体" w:cs="宋体"/>
                <w:i w:val="0"/>
                <w:iCs w:val="0"/>
                <w:color w:val="000000"/>
                <w:sz w:val="18"/>
                <w:szCs w:val="18"/>
                <w:u w:val="none"/>
              </w:rPr>
            </w:pPr>
          </w:p>
        </w:tc>
        <w:tc>
          <w:tcPr>
            <w:tcW w:w="1708" w:type="dxa"/>
            <w:vMerge w:val="restart"/>
            <w:tcBorders>
              <w:top w:val="single" w:color="000000" w:sz="4" w:space="0"/>
              <w:left w:val="single" w:color="000000" w:sz="4" w:space="0"/>
              <w:bottom w:val="nil"/>
              <w:right w:val="single" w:color="000000" w:sz="4" w:space="0"/>
            </w:tcBorders>
            <w:shd w:val="clear" w:color="auto" w:fill="auto"/>
            <w:vAlign w:val="center"/>
          </w:tcPr>
          <w:p w14:paraId="73E668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0B1A1C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验收执法记录仪合格率</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0C10D2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1A05F2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022561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735F13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03F336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4533F3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36" w:type="dxa"/>
            <w:tcBorders>
              <w:top w:val="single" w:color="000000" w:sz="4" w:space="0"/>
              <w:left w:val="single" w:color="000000" w:sz="4" w:space="0"/>
              <w:bottom w:val="nil"/>
              <w:right w:val="single" w:color="000000" w:sz="4" w:space="0"/>
            </w:tcBorders>
            <w:shd w:val="clear" w:color="auto" w:fill="auto"/>
            <w:vAlign w:val="center"/>
          </w:tcPr>
          <w:p w14:paraId="5F0B52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762" w:type="dxa"/>
            <w:tcBorders>
              <w:top w:val="single" w:color="000000" w:sz="4" w:space="0"/>
              <w:left w:val="single" w:color="000000" w:sz="4" w:space="0"/>
              <w:bottom w:val="nil"/>
              <w:right w:val="single" w:color="000000" w:sz="4" w:space="0"/>
            </w:tcBorders>
            <w:shd w:val="clear" w:color="auto" w:fill="auto"/>
            <w:vAlign w:val="center"/>
          </w:tcPr>
          <w:p w14:paraId="6292EB38">
            <w:pPr>
              <w:jc w:val="center"/>
              <w:rPr>
                <w:rFonts w:hint="eastAsia" w:ascii="宋体" w:hAnsi="宋体" w:eastAsia="宋体" w:cs="宋体"/>
                <w:i w:val="0"/>
                <w:iCs w:val="0"/>
                <w:color w:val="000000"/>
                <w:sz w:val="18"/>
                <w:szCs w:val="18"/>
                <w:u w:val="none"/>
              </w:rPr>
            </w:pPr>
          </w:p>
        </w:tc>
      </w:tr>
      <w:tr w14:paraId="0448D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1D0555C7">
            <w:pPr>
              <w:jc w:val="center"/>
              <w:rPr>
                <w:rFonts w:hint="eastAsia" w:ascii="宋体" w:hAnsi="宋体" w:eastAsia="宋体" w:cs="宋体"/>
                <w:i w:val="0"/>
                <w:iCs w:val="0"/>
                <w:color w:val="000000"/>
                <w:sz w:val="18"/>
                <w:szCs w:val="18"/>
                <w:u w:val="none"/>
              </w:rPr>
            </w:pPr>
          </w:p>
        </w:tc>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52FF56D4">
            <w:pPr>
              <w:jc w:val="center"/>
              <w:rPr>
                <w:rFonts w:hint="eastAsia" w:ascii="宋体" w:hAnsi="宋体" w:eastAsia="宋体" w:cs="宋体"/>
                <w:i w:val="0"/>
                <w:iCs w:val="0"/>
                <w:color w:val="000000"/>
                <w:sz w:val="18"/>
                <w:szCs w:val="18"/>
                <w:u w:val="none"/>
              </w:rPr>
            </w:pPr>
          </w:p>
        </w:tc>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573064B4">
            <w:pPr>
              <w:jc w:val="center"/>
              <w:rPr>
                <w:rFonts w:hint="eastAsia" w:ascii="宋体" w:hAnsi="宋体" w:eastAsia="宋体" w:cs="宋体"/>
                <w:i w:val="0"/>
                <w:iCs w:val="0"/>
                <w:color w:val="000000"/>
                <w:sz w:val="18"/>
                <w:szCs w:val="18"/>
                <w:u w:val="none"/>
              </w:rPr>
            </w:pP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30DF1B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验收卫星电话合格率</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363987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206260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6FFB77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2EFBF2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30E2B8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66058F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636" w:type="dxa"/>
            <w:tcBorders>
              <w:top w:val="single" w:color="000000" w:sz="4" w:space="0"/>
              <w:left w:val="single" w:color="000000" w:sz="4" w:space="0"/>
              <w:bottom w:val="nil"/>
              <w:right w:val="single" w:color="000000" w:sz="4" w:space="0"/>
            </w:tcBorders>
            <w:shd w:val="clear" w:color="auto" w:fill="auto"/>
            <w:vAlign w:val="center"/>
          </w:tcPr>
          <w:p w14:paraId="6BDEE7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762" w:type="dxa"/>
            <w:tcBorders>
              <w:top w:val="single" w:color="000000" w:sz="4" w:space="0"/>
              <w:left w:val="single" w:color="000000" w:sz="4" w:space="0"/>
              <w:bottom w:val="nil"/>
              <w:right w:val="single" w:color="000000" w:sz="4" w:space="0"/>
            </w:tcBorders>
            <w:shd w:val="clear" w:color="auto" w:fill="auto"/>
            <w:vAlign w:val="center"/>
          </w:tcPr>
          <w:p w14:paraId="3C5E1C5A">
            <w:pPr>
              <w:jc w:val="center"/>
              <w:rPr>
                <w:rFonts w:hint="eastAsia" w:ascii="宋体" w:hAnsi="宋体" w:eastAsia="宋体" w:cs="宋体"/>
                <w:i w:val="0"/>
                <w:iCs w:val="0"/>
                <w:color w:val="000000"/>
                <w:sz w:val="18"/>
                <w:szCs w:val="18"/>
                <w:u w:val="none"/>
              </w:rPr>
            </w:pPr>
          </w:p>
        </w:tc>
      </w:tr>
      <w:tr w14:paraId="2EA0E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2983A941">
            <w:pPr>
              <w:jc w:val="center"/>
              <w:rPr>
                <w:rFonts w:hint="eastAsia" w:ascii="宋体" w:hAnsi="宋体" w:eastAsia="宋体" w:cs="宋体"/>
                <w:i w:val="0"/>
                <w:iCs w:val="0"/>
                <w:color w:val="000000"/>
                <w:sz w:val="18"/>
                <w:szCs w:val="18"/>
                <w:u w:val="none"/>
              </w:rPr>
            </w:pPr>
          </w:p>
        </w:tc>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7F3DCB2A">
            <w:pPr>
              <w:jc w:val="center"/>
              <w:rPr>
                <w:rFonts w:hint="eastAsia" w:ascii="宋体" w:hAnsi="宋体" w:eastAsia="宋体" w:cs="宋体"/>
                <w:i w:val="0"/>
                <w:iCs w:val="0"/>
                <w:color w:val="000000"/>
                <w:sz w:val="18"/>
                <w:szCs w:val="18"/>
                <w:u w:val="none"/>
              </w:rPr>
            </w:pPr>
          </w:p>
        </w:tc>
        <w:tc>
          <w:tcPr>
            <w:tcW w:w="1708" w:type="dxa"/>
            <w:vMerge w:val="restart"/>
            <w:tcBorders>
              <w:top w:val="single" w:color="000000" w:sz="4" w:space="0"/>
              <w:left w:val="single" w:color="000000" w:sz="4" w:space="0"/>
              <w:bottom w:val="nil"/>
              <w:right w:val="single" w:color="000000" w:sz="4" w:space="0"/>
            </w:tcBorders>
            <w:shd w:val="clear" w:color="auto" w:fill="auto"/>
            <w:vAlign w:val="center"/>
          </w:tcPr>
          <w:p w14:paraId="25346C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43E55C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执法记录仪购置完成时间</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2CCDDB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110750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527CB3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41ECB9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375ABC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日</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2B8C63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636" w:type="dxa"/>
            <w:tcBorders>
              <w:top w:val="single" w:color="000000" w:sz="4" w:space="0"/>
              <w:left w:val="single" w:color="000000" w:sz="4" w:space="0"/>
              <w:bottom w:val="nil"/>
              <w:right w:val="single" w:color="000000" w:sz="4" w:space="0"/>
            </w:tcBorders>
            <w:shd w:val="clear" w:color="auto" w:fill="auto"/>
            <w:vAlign w:val="center"/>
          </w:tcPr>
          <w:p w14:paraId="1CCFF1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762" w:type="dxa"/>
            <w:tcBorders>
              <w:top w:val="single" w:color="000000" w:sz="4" w:space="0"/>
              <w:left w:val="single" w:color="000000" w:sz="4" w:space="0"/>
              <w:bottom w:val="nil"/>
              <w:right w:val="single" w:color="000000" w:sz="4" w:space="0"/>
            </w:tcBorders>
            <w:shd w:val="clear" w:color="auto" w:fill="auto"/>
            <w:vAlign w:val="center"/>
          </w:tcPr>
          <w:p w14:paraId="7E5D9449">
            <w:pPr>
              <w:jc w:val="center"/>
              <w:rPr>
                <w:rFonts w:hint="eastAsia" w:ascii="宋体" w:hAnsi="宋体" w:eastAsia="宋体" w:cs="宋体"/>
                <w:i w:val="0"/>
                <w:iCs w:val="0"/>
                <w:color w:val="000000"/>
                <w:sz w:val="18"/>
                <w:szCs w:val="18"/>
                <w:u w:val="none"/>
              </w:rPr>
            </w:pPr>
          </w:p>
        </w:tc>
      </w:tr>
      <w:tr w14:paraId="2576B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4663B269">
            <w:pPr>
              <w:jc w:val="center"/>
              <w:rPr>
                <w:rFonts w:hint="eastAsia" w:ascii="宋体" w:hAnsi="宋体" w:eastAsia="宋体" w:cs="宋体"/>
                <w:i w:val="0"/>
                <w:iCs w:val="0"/>
                <w:color w:val="000000"/>
                <w:sz w:val="18"/>
                <w:szCs w:val="18"/>
                <w:u w:val="none"/>
              </w:rPr>
            </w:pPr>
          </w:p>
        </w:tc>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478CBAD0">
            <w:pPr>
              <w:jc w:val="center"/>
              <w:rPr>
                <w:rFonts w:hint="eastAsia" w:ascii="宋体" w:hAnsi="宋体" w:eastAsia="宋体" w:cs="宋体"/>
                <w:i w:val="0"/>
                <w:iCs w:val="0"/>
                <w:color w:val="000000"/>
                <w:sz w:val="18"/>
                <w:szCs w:val="18"/>
                <w:u w:val="none"/>
              </w:rPr>
            </w:pPr>
          </w:p>
        </w:tc>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378E45EF">
            <w:pPr>
              <w:jc w:val="center"/>
              <w:rPr>
                <w:rFonts w:hint="eastAsia" w:ascii="宋体" w:hAnsi="宋体" w:eastAsia="宋体" w:cs="宋体"/>
                <w:i w:val="0"/>
                <w:iCs w:val="0"/>
                <w:color w:val="000000"/>
                <w:sz w:val="18"/>
                <w:szCs w:val="18"/>
                <w:u w:val="none"/>
              </w:rPr>
            </w:pP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7E5AEC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卫星电话购置完成时间</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3C90F0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5EED6E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563EB9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60A66F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34DDE7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日</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06A5D0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636" w:type="dxa"/>
            <w:tcBorders>
              <w:top w:val="single" w:color="000000" w:sz="4" w:space="0"/>
              <w:left w:val="single" w:color="000000" w:sz="4" w:space="0"/>
              <w:bottom w:val="nil"/>
              <w:right w:val="single" w:color="000000" w:sz="4" w:space="0"/>
            </w:tcBorders>
            <w:shd w:val="clear" w:color="auto" w:fill="auto"/>
            <w:vAlign w:val="center"/>
          </w:tcPr>
          <w:p w14:paraId="6E976F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762" w:type="dxa"/>
            <w:tcBorders>
              <w:top w:val="single" w:color="000000" w:sz="4" w:space="0"/>
              <w:left w:val="single" w:color="000000" w:sz="4" w:space="0"/>
              <w:bottom w:val="nil"/>
              <w:right w:val="single" w:color="000000" w:sz="4" w:space="0"/>
            </w:tcBorders>
            <w:shd w:val="clear" w:color="auto" w:fill="auto"/>
            <w:vAlign w:val="center"/>
          </w:tcPr>
          <w:p w14:paraId="2466EE12">
            <w:pPr>
              <w:jc w:val="center"/>
              <w:rPr>
                <w:rFonts w:hint="eastAsia" w:ascii="宋体" w:hAnsi="宋体" w:eastAsia="宋体" w:cs="宋体"/>
                <w:i w:val="0"/>
                <w:iCs w:val="0"/>
                <w:color w:val="000000"/>
                <w:sz w:val="18"/>
                <w:szCs w:val="18"/>
                <w:u w:val="none"/>
              </w:rPr>
            </w:pPr>
          </w:p>
        </w:tc>
      </w:tr>
      <w:tr w14:paraId="0F7AF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0" w:hRule="atLeast"/>
        </w:trPr>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7B39D79D">
            <w:pPr>
              <w:jc w:val="center"/>
              <w:rPr>
                <w:rFonts w:hint="eastAsia" w:ascii="宋体" w:hAnsi="宋体" w:eastAsia="宋体" w:cs="宋体"/>
                <w:i w:val="0"/>
                <w:iCs w:val="0"/>
                <w:color w:val="000000"/>
                <w:sz w:val="18"/>
                <w:szCs w:val="18"/>
                <w:u w:val="none"/>
              </w:rPr>
            </w:pPr>
          </w:p>
        </w:tc>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64D5A8E5">
            <w:pPr>
              <w:jc w:val="center"/>
              <w:rPr>
                <w:rFonts w:hint="eastAsia" w:ascii="宋体" w:hAnsi="宋体" w:eastAsia="宋体" w:cs="宋体"/>
                <w:i w:val="0"/>
                <w:iCs w:val="0"/>
                <w:color w:val="000000"/>
                <w:sz w:val="18"/>
                <w:szCs w:val="18"/>
                <w:u w:val="none"/>
              </w:rPr>
            </w:pPr>
          </w:p>
        </w:tc>
        <w:tc>
          <w:tcPr>
            <w:tcW w:w="1708" w:type="dxa"/>
            <w:vMerge w:val="restart"/>
            <w:tcBorders>
              <w:top w:val="single" w:color="000000" w:sz="4" w:space="0"/>
              <w:left w:val="single" w:color="000000" w:sz="4" w:space="0"/>
              <w:bottom w:val="nil"/>
              <w:right w:val="single" w:color="000000" w:sz="4" w:space="0"/>
            </w:tcBorders>
            <w:shd w:val="clear" w:color="auto" w:fill="auto"/>
            <w:vAlign w:val="center"/>
          </w:tcPr>
          <w:p w14:paraId="215563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1B4C36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执法记录仪成本</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7A09AE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54D05D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2EE2FB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605872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12.36</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2F8D7C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1AFD53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636" w:type="dxa"/>
            <w:tcBorders>
              <w:top w:val="single" w:color="000000" w:sz="4" w:space="0"/>
              <w:left w:val="single" w:color="000000" w:sz="4" w:space="0"/>
              <w:bottom w:val="nil"/>
              <w:right w:val="single" w:color="000000" w:sz="4" w:space="0"/>
            </w:tcBorders>
            <w:shd w:val="clear" w:color="auto" w:fill="auto"/>
            <w:vAlign w:val="center"/>
          </w:tcPr>
          <w:p w14:paraId="6D67A3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762" w:type="dxa"/>
            <w:tcBorders>
              <w:top w:val="single" w:color="000000" w:sz="4" w:space="0"/>
              <w:left w:val="single" w:color="000000" w:sz="4" w:space="0"/>
              <w:bottom w:val="nil"/>
              <w:right w:val="single" w:color="000000" w:sz="4" w:space="0"/>
            </w:tcBorders>
            <w:shd w:val="clear" w:color="auto" w:fill="auto"/>
            <w:vAlign w:val="center"/>
          </w:tcPr>
          <w:p w14:paraId="186FA7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因我单位执法记录仪使用年限较长，大部分无法使用，</w:t>
            </w:r>
            <w:r>
              <w:rPr>
                <w:rFonts w:hint="eastAsia" w:ascii="宋体" w:hAnsi="宋体" w:cs="宋体"/>
                <w:i w:val="0"/>
                <w:iCs w:val="0"/>
                <w:color w:val="000000"/>
                <w:kern w:val="0"/>
                <w:sz w:val="18"/>
                <w:szCs w:val="18"/>
                <w:highlight w:val="none"/>
                <w:u w:val="none"/>
                <w:lang w:val="en-US" w:eastAsia="zh-CN" w:bidi="ar"/>
              </w:rPr>
              <w:t>为</w:t>
            </w:r>
            <w:r>
              <w:rPr>
                <w:rFonts w:hint="eastAsia" w:ascii="宋体" w:hAnsi="宋体" w:eastAsia="宋体" w:cs="宋体"/>
                <w:i w:val="0"/>
                <w:iCs w:val="0"/>
                <w:color w:val="000000"/>
                <w:kern w:val="0"/>
                <w:sz w:val="18"/>
                <w:szCs w:val="18"/>
                <w:u w:val="none"/>
                <w:lang w:val="en-US" w:eastAsia="zh-CN" w:bidi="ar"/>
              </w:rPr>
              <w:t>不影响工作开展，急需购置大批执法记录仪，设立指标时，增加了购置数量。</w:t>
            </w:r>
          </w:p>
        </w:tc>
      </w:tr>
      <w:tr w14:paraId="2CB740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0" w:hRule="atLeast"/>
        </w:trPr>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71413386">
            <w:pPr>
              <w:jc w:val="center"/>
              <w:rPr>
                <w:rFonts w:hint="eastAsia" w:ascii="宋体" w:hAnsi="宋体" w:eastAsia="宋体" w:cs="宋体"/>
                <w:i w:val="0"/>
                <w:iCs w:val="0"/>
                <w:color w:val="000000"/>
                <w:sz w:val="18"/>
                <w:szCs w:val="18"/>
                <w:u w:val="none"/>
              </w:rPr>
            </w:pPr>
          </w:p>
        </w:tc>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6EFC2655">
            <w:pPr>
              <w:jc w:val="center"/>
              <w:rPr>
                <w:rFonts w:hint="eastAsia" w:ascii="宋体" w:hAnsi="宋体" w:eastAsia="宋体" w:cs="宋体"/>
                <w:i w:val="0"/>
                <w:iCs w:val="0"/>
                <w:color w:val="000000"/>
                <w:sz w:val="18"/>
                <w:szCs w:val="18"/>
                <w:u w:val="none"/>
              </w:rPr>
            </w:pPr>
          </w:p>
        </w:tc>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469B5D65">
            <w:pPr>
              <w:jc w:val="center"/>
              <w:rPr>
                <w:rFonts w:hint="eastAsia" w:ascii="宋体" w:hAnsi="宋体" w:eastAsia="宋体" w:cs="宋体"/>
                <w:i w:val="0"/>
                <w:iCs w:val="0"/>
                <w:color w:val="000000"/>
                <w:sz w:val="18"/>
                <w:szCs w:val="18"/>
                <w:u w:val="none"/>
              </w:rPr>
            </w:pP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467A9B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卫星电话成本</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27D530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502BC0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3F76C2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649669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2.64</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22A305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714F95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636" w:type="dxa"/>
            <w:tcBorders>
              <w:top w:val="single" w:color="000000" w:sz="4" w:space="0"/>
              <w:left w:val="single" w:color="000000" w:sz="4" w:space="0"/>
              <w:bottom w:val="nil"/>
              <w:right w:val="single" w:color="000000" w:sz="4" w:space="0"/>
            </w:tcBorders>
            <w:shd w:val="clear" w:color="auto" w:fill="auto"/>
            <w:vAlign w:val="center"/>
          </w:tcPr>
          <w:p w14:paraId="201644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762" w:type="dxa"/>
            <w:tcBorders>
              <w:top w:val="single" w:color="000000" w:sz="4" w:space="0"/>
              <w:left w:val="single" w:color="000000" w:sz="4" w:space="0"/>
              <w:bottom w:val="nil"/>
              <w:right w:val="single" w:color="000000" w:sz="4" w:space="0"/>
            </w:tcBorders>
            <w:shd w:val="clear" w:color="auto" w:fill="auto"/>
            <w:vAlign w:val="center"/>
          </w:tcPr>
          <w:p w14:paraId="1B7D9F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我单位增加了购置执法记录仪的数量及成本，故选购相对低配置版的卫星电话，减少了购置成本。</w:t>
            </w:r>
          </w:p>
        </w:tc>
      </w:tr>
      <w:tr w14:paraId="5EFDC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3CDA0106">
            <w:pPr>
              <w:jc w:val="center"/>
              <w:rPr>
                <w:rFonts w:hint="eastAsia" w:ascii="宋体" w:hAnsi="宋体" w:eastAsia="宋体" w:cs="宋体"/>
                <w:i w:val="0"/>
                <w:iCs w:val="0"/>
                <w:color w:val="000000"/>
                <w:sz w:val="18"/>
                <w:szCs w:val="18"/>
                <w:u w:val="none"/>
              </w:rPr>
            </w:pPr>
          </w:p>
        </w:tc>
        <w:tc>
          <w:tcPr>
            <w:tcW w:w="1708" w:type="dxa"/>
            <w:vMerge w:val="restart"/>
            <w:tcBorders>
              <w:top w:val="single" w:color="000000" w:sz="4" w:space="0"/>
              <w:left w:val="single" w:color="000000" w:sz="4" w:space="0"/>
              <w:bottom w:val="nil"/>
              <w:right w:val="single" w:color="000000" w:sz="4" w:space="0"/>
            </w:tcBorders>
            <w:shd w:val="clear" w:color="auto" w:fill="auto"/>
            <w:vAlign w:val="center"/>
          </w:tcPr>
          <w:p w14:paraId="10AC37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708" w:type="dxa"/>
            <w:tcBorders>
              <w:top w:val="single" w:color="000000" w:sz="4" w:space="0"/>
              <w:left w:val="single" w:color="000000" w:sz="4" w:space="0"/>
              <w:bottom w:val="nil"/>
              <w:right w:val="single" w:color="000000" w:sz="4" w:space="0"/>
            </w:tcBorders>
            <w:shd w:val="clear" w:color="auto" w:fill="auto"/>
            <w:vAlign w:val="center"/>
          </w:tcPr>
          <w:p w14:paraId="3ED622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640891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提升林区治安服务质量</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3E39D0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7C446FB6">
            <w:pPr>
              <w:jc w:val="center"/>
              <w:rPr>
                <w:rFonts w:hint="eastAsia" w:ascii="宋体" w:hAnsi="宋体" w:eastAsia="宋体" w:cs="宋体"/>
                <w:i w:val="0"/>
                <w:iCs w:val="0"/>
                <w:color w:val="000000"/>
                <w:sz w:val="18"/>
                <w:szCs w:val="18"/>
                <w:u w:val="none"/>
              </w:rPr>
            </w:pP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3C36DA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有效提升</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1398E8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有效提升</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5D3E0E45">
            <w:pPr>
              <w:jc w:val="center"/>
              <w:rPr>
                <w:rFonts w:hint="eastAsia" w:ascii="宋体" w:hAnsi="宋体" w:eastAsia="宋体" w:cs="宋体"/>
                <w:i w:val="0"/>
                <w:iCs w:val="0"/>
                <w:color w:val="000000"/>
                <w:sz w:val="18"/>
                <w:szCs w:val="18"/>
                <w:u w:val="none"/>
              </w:rPr>
            </w:pP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7AECFF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36" w:type="dxa"/>
            <w:tcBorders>
              <w:top w:val="single" w:color="000000" w:sz="4" w:space="0"/>
              <w:left w:val="single" w:color="000000" w:sz="4" w:space="0"/>
              <w:bottom w:val="nil"/>
              <w:right w:val="single" w:color="000000" w:sz="4" w:space="0"/>
            </w:tcBorders>
            <w:shd w:val="clear" w:color="auto" w:fill="auto"/>
            <w:vAlign w:val="center"/>
          </w:tcPr>
          <w:p w14:paraId="0DBC65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762" w:type="dxa"/>
            <w:tcBorders>
              <w:top w:val="single" w:color="000000" w:sz="4" w:space="0"/>
              <w:left w:val="single" w:color="000000" w:sz="4" w:space="0"/>
              <w:bottom w:val="nil"/>
              <w:right w:val="single" w:color="000000" w:sz="4" w:space="0"/>
            </w:tcBorders>
            <w:shd w:val="clear" w:color="auto" w:fill="auto"/>
            <w:vAlign w:val="center"/>
          </w:tcPr>
          <w:p w14:paraId="312CDC75">
            <w:pPr>
              <w:jc w:val="center"/>
              <w:rPr>
                <w:rFonts w:hint="eastAsia" w:ascii="宋体" w:hAnsi="宋体" w:eastAsia="宋体" w:cs="宋体"/>
                <w:i w:val="0"/>
                <w:iCs w:val="0"/>
                <w:color w:val="000000"/>
                <w:sz w:val="18"/>
                <w:szCs w:val="18"/>
                <w:u w:val="none"/>
              </w:rPr>
            </w:pPr>
          </w:p>
        </w:tc>
      </w:tr>
      <w:tr w14:paraId="475E3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4E5B334C">
            <w:pPr>
              <w:jc w:val="center"/>
              <w:rPr>
                <w:rFonts w:hint="eastAsia" w:ascii="宋体" w:hAnsi="宋体" w:eastAsia="宋体" w:cs="宋体"/>
                <w:i w:val="0"/>
                <w:iCs w:val="0"/>
                <w:color w:val="000000"/>
                <w:sz w:val="18"/>
                <w:szCs w:val="18"/>
                <w:u w:val="none"/>
              </w:rPr>
            </w:pPr>
          </w:p>
        </w:tc>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4DB7AA65">
            <w:pPr>
              <w:jc w:val="center"/>
              <w:rPr>
                <w:rFonts w:hint="eastAsia" w:ascii="宋体" w:hAnsi="宋体" w:eastAsia="宋体" w:cs="宋体"/>
                <w:i w:val="0"/>
                <w:iCs w:val="0"/>
                <w:color w:val="000000"/>
                <w:sz w:val="18"/>
                <w:szCs w:val="18"/>
                <w:u w:val="none"/>
              </w:rPr>
            </w:pPr>
          </w:p>
        </w:tc>
        <w:tc>
          <w:tcPr>
            <w:tcW w:w="1708" w:type="dxa"/>
            <w:tcBorders>
              <w:top w:val="single" w:color="000000" w:sz="4" w:space="0"/>
              <w:left w:val="single" w:color="000000" w:sz="4" w:space="0"/>
              <w:bottom w:val="nil"/>
              <w:right w:val="single" w:color="000000" w:sz="4" w:space="0"/>
            </w:tcBorders>
            <w:shd w:val="clear" w:color="auto" w:fill="auto"/>
            <w:vAlign w:val="center"/>
          </w:tcPr>
          <w:p w14:paraId="21BE54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17BAC8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加强林地草原野生动植物资源保护</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21316C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1F2407D9">
            <w:pPr>
              <w:jc w:val="center"/>
              <w:rPr>
                <w:rFonts w:hint="eastAsia" w:ascii="宋体" w:hAnsi="宋体" w:eastAsia="宋体" w:cs="宋体"/>
                <w:i w:val="0"/>
                <w:iCs w:val="0"/>
                <w:color w:val="000000"/>
                <w:sz w:val="18"/>
                <w:szCs w:val="18"/>
                <w:u w:val="none"/>
              </w:rPr>
            </w:pP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5B92D2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有效加强</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24043E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有效加强</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4F322E5A">
            <w:pPr>
              <w:jc w:val="center"/>
              <w:rPr>
                <w:rFonts w:hint="eastAsia" w:ascii="宋体" w:hAnsi="宋体" w:eastAsia="宋体" w:cs="宋体"/>
                <w:i w:val="0"/>
                <w:iCs w:val="0"/>
                <w:color w:val="000000"/>
                <w:sz w:val="18"/>
                <w:szCs w:val="18"/>
                <w:u w:val="none"/>
              </w:rPr>
            </w:pP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6C553E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36" w:type="dxa"/>
            <w:tcBorders>
              <w:top w:val="single" w:color="000000" w:sz="4" w:space="0"/>
              <w:left w:val="single" w:color="000000" w:sz="4" w:space="0"/>
              <w:bottom w:val="nil"/>
              <w:right w:val="single" w:color="000000" w:sz="4" w:space="0"/>
            </w:tcBorders>
            <w:shd w:val="clear" w:color="auto" w:fill="auto"/>
            <w:vAlign w:val="center"/>
          </w:tcPr>
          <w:p w14:paraId="5294D0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762" w:type="dxa"/>
            <w:tcBorders>
              <w:top w:val="single" w:color="000000" w:sz="4" w:space="0"/>
              <w:left w:val="single" w:color="000000" w:sz="4" w:space="0"/>
              <w:bottom w:val="nil"/>
              <w:right w:val="single" w:color="000000" w:sz="4" w:space="0"/>
            </w:tcBorders>
            <w:shd w:val="clear" w:color="auto" w:fill="auto"/>
            <w:vAlign w:val="center"/>
          </w:tcPr>
          <w:p w14:paraId="7CA81386">
            <w:pPr>
              <w:jc w:val="center"/>
              <w:rPr>
                <w:rFonts w:hint="eastAsia" w:ascii="宋体" w:hAnsi="宋体" w:eastAsia="宋体" w:cs="宋体"/>
                <w:i w:val="0"/>
                <w:iCs w:val="0"/>
                <w:color w:val="000000"/>
                <w:sz w:val="18"/>
                <w:szCs w:val="18"/>
                <w:u w:val="none"/>
              </w:rPr>
            </w:pPr>
          </w:p>
        </w:tc>
      </w:tr>
      <w:tr w14:paraId="748E2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257CF2BA">
            <w:pPr>
              <w:jc w:val="center"/>
              <w:rPr>
                <w:rFonts w:hint="eastAsia" w:ascii="宋体" w:hAnsi="宋体" w:eastAsia="宋体" w:cs="宋体"/>
                <w:i w:val="0"/>
                <w:iCs w:val="0"/>
                <w:color w:val="000000"/>
                <w:sz w:val="18"/>
                <w:szCs w:val="18"/>
                <w:u w:val="none"/>
              </w:rPr>
            </w:pPr>
          </w:p>
        </w:tc>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437E19AE">
            <w:pPr>
              <w:jc w:val="center"/>
              <w:rPr>
                <w:rFonts w:hint="eastAsia" w:ascii="宋体" w:hAnsi="宋体" w:eastAsia="宋体" w:cs="宋体"/>
                <w:i w:val="0"/>
                <w:iCs w:val="0"/>
                <w:color w:val="000000"/>
                <w:sz w:val="18"/>
                <w:szCs w:val="18"/>
                <w:u w:val="none"/>
              </w:rPr>
            </w:pPr>
          </w:p>
        </w:tc>
        <w:tc>
          <w:tcPr>
            <w:tcW w:w="1708" w:type="dxa"/>
            <w:tcBorders>
              <w:top w:val="single" w:color="000000" w:sz="4" w:space="0"/>
              <w:left w:val="single" w:color="000000" w:sz="4" w:space="0"/>
              <w:bottom w:val="nil"/>
              <w:right w:val="single" w:color="000000" w:sz="4" w:space="0"/>
            </w:tcBorders>
            <w:shd w:val="clear" w:color="auto" w:fill="auto"/>
            <w:vAlign w:val="center"/>
          </w:tcPr>
          <w:p w14:paraId="607C42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728CAE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专用设备使用年限</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26828B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1D633A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3508AA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6E254C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088C9C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5F0B70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36" w:type="dxa"/>
            <w:tcBorders>
              <w:top w:val="single" w:color="000000" w:sz="4" w:space="0"/>
              <w:left w:val="single" w:color="000000" w:sz="4" w:space="0"/>
              <w:bottom w:val="nil"/>
              <w:right w:val="single" w:color="000000" w:sz="4" w:space="0"/>
            </w:tcBorders>
            <w:shd w:val="clear" w:color="auto" w:fill="auto"/>
            <w:vAlign w:val="center"/>
          </w:tcPr>
          <w:p w14:paraId="30C1EE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762" w:type="dxa"/>
            <w:tcBorders>
              <w:top w:val="single" w:color="000000" w:sz="4" w:space="0"/>
              <w:left w:val="single" w:color="000000" w:sz="4" w:space="0"/>
              <w:bottom w:val="nil"/>
              <w:right w:val="single" w:color="000000" w:sz="4" w:space="0"/>
            </w:tcBorders>
            <w:shd w:val="clear" w:color="auto" w:fill="auto"/>
            <w:vAlign w:val="center"/>
          </w:tcPr>
          <w:p w14:paraId="6834F4A3">
            <w:pPr>
              <w:jc w:val="center"/>
              <w:rPr>
                <w:rFonts w:hint="eastAsia" w:ascii="宋体" w:hAnsi="宋体" w:eastAsia="宋体" w:cs="宋体"/>
                <w:i w:val="0"/>
                <w:iCs w:val="0"/>
                <w:color w:val="000000"/>
                <w:sz w:val="18"/>
                <w:szCs w:val="18"/>
                <w:u w:val="none"/>
              </w:rPr>
            </w:pPr>
          </w:p>
        </w:tc>
      </w:tr>
      <w:tr w14:paraId="11748D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708" w:type="dxa"/>
            <w:vMerge w:val="continue"/>
            <w:tcBorders>
              <w:top w:val="single" w:color="000000" w:sz="4" w:space="0"/>
              <w:left w:val="single" w:color="000000" w:sz="4" w:space="0"/>
              <w:bottom w:val="nil"/>
              <w:right w:val="single" w:color="000000" w:sz="4" w:space="0"/>
            </w:tcBorders>
            <w:shd w:val="clear" w:color="auto" w:fill="auto"/>
            <w:vAlign w:val="center"/>
          </w:tcPr>
          <w:p w14:paraId="0169A787">
            <w:pPr>
              <w:jc w:val="center"/>
              <w:rPr>
                <w:rFonts w:hint="eastAsia" w:ascii="宋体" w:hAnsi="宋体" w:eastAsia="宋体" w:cs="宋体"/>
                <w:i w:val="0"/>
                <w:iCs w:val="0"/>
                <w:color w:val="000000"/>
                <w:sz w:val="18"/>
                <w:szCs w:val="18"/>
                <w:u w:val="none"/>
              </w:rPr>
            </w:pPr>
          </w:p>
        </w:tc>
        <w:tc>
          <w:tcPr>
            <w:tcW w:w="1708" w:type="dxa"/>
            <w:tcBorders>
              <w:top w:val="single" w:color="000000" w:sz="4" w:space="0"/>
              <w:left w:val="single" w:color="000000" w:sz="4" w:space="0"/>
              <w:bottom w:val="nil"/>
              <w:right w:val="single" w:color="000000" w:sz="4" w:space="0"/>
            </w:tcBorders>
            <w:shd w:val="clear" w:color="auto" w:fill="auto"/>
            <w:vAlign w:val="center"/>
          </w:tcPr>
          <w:p w14:paraId="5F70BE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708" w:type="dxa"/>
            <w:tcBorders>
              <w:top w:val="single" w:color="000000" w:sz="4" w:space="0"/>
              <w:left w:val="single" w:color="000000" w:sz="4" w:space="0"/>
              <w:bottom w:val="nil"/>
              <w:right w:val="single" w:color="000000" w:sz="4" w:space="0"/>
            </w:tcBorders>
            <w:shd w:val="clear" w:color="auto" w:fill="auto"/>
            <w:vAlign w:val="center"/>
          </w:tcPr>
          <w:p w14:paraId="596E9A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3411EA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设备使用人员满意度</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2F9E8B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521BD8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41DF49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09D951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263731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579" w:type="dxa"/>
            <w:tcBorders>
              <w:top w:val="single" w:color="000000" w:sz="4" w:space="0"/>
              <w:left w:val="single" w:color="000000" w:sz="4" w:space="0"/>
              <w:bottom w:val="nil"/>
              <w:right w:val="single" w:color="000000" w:sz="4" w:space="0"/>
            </w:tcBorders>
            <w:shd w:val="clear" w:color="auto" w:fill="auto"/>
            <w:vAlign w:val="center"/>
          </w:tcPr>
          <w:p w14:paraId="4E00A0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36" w:type="dxa"/>
            <w:tcBorders>
              <w:top w:val="single" w:color="000000" w:sz="4" w:space="0"/>
              <w:left w:val="single" w:color="000000" w:sz="4" w:space="0"/>
              <w:bottom w:val="nil"/>
              <w:right w:val="single" w:color="000000" w:sz="4" w:space="0"/>
            </w:tcBorders>
            <w:shd w:val="clear" w:color="auto" w:fill="auto"/>
            <w:vAlign w:val="center"/>
          </w:tcPr>
          <w:p w14:paraId="518390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762" w:type="dxa"/>
            <w:tcBorders>
              <w:top w:val="single" w:color="000000" w:sz="4" w:space="0"/>
              <w:left w:val="single" w:color="000000" w:sz="4" w:space="0"/>
              <w:bottom w:val="nil"/>
              <w:right w:val="single" w:color="000000" w:sz="4" w:space="0"/>
            </w:tcBorders>
            <w:shd w:val="clear" w:color="auto" w:fill="auto"/>
            <w:vAlign w:val="center"/>
          </w:tcPr>
          <w:p w14:paraId="2ADBDC8B">
            <w:pPr>
              <w:jc w:val="center"/>
              <w:rPr>
                <w:rFonts w:hint="eastAsia" w:ascii="宋体" w:hAnsi="宋体" w:eastAsia="宋体" w:cs="宋体"/>
                <w:i w:val="0"/>
                <w:iCs w:val="0"/>
                <w:color w:val="000000"/>
                <w:sz w:val="18"/>
                <w:szCs w:val="18"/>
                <w:u w:val="none"/>
              </w:rPr>
            </w:pPr>
          </w:p>
        </w:tc>
      </w:tr>
      <w:tr w14:paraId="7F132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459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AFEF4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2D8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0FC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95.00</w:t>
            </w:r>
          </w:p>
        </w:tc>
        <w:tc>
          <w:tcPr>
            <w:tcW w:w="3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5D7B5">
            <w:pPr>
              <w:jc w:val="center"/>
              <w:rPr>
                <w:rFonts w:hint="eastAsia" w:ascii="宋体" w:hAnsi="宋体" w:eastAsia="宋体" w:cs="宋体"/>
                <w:i w:val="0"/>
                <w:iCs w:val="0"/>
                <w:color w:val="000000"/>
                <w:sz w:val="18"/>
                <w:szCs w:val="18"/>
                <w:u w:val="none"/>
              </w:rPr>
            </w:pPr>
          </w:p>
        </w:tc>
      </w:tr>
    </w:tbl>
    <w:p w14:paraId="05126131">
      <w:pPr>
        <w:pStyle w:val="29"/>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auto"/>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（三）</w:t>
      </w:r>
      <w:r>
        <w:rPr>
          <w:rFonts w:hint="eastAsia" w:ascii="楷体_GB2312" w:hAnsi="楷体_GB2312" w:eastAsia="楷体_GB2312" w:cs="楷体_GB2312"/>
          <w:b/>
          <w:bCs/>
          <w:kern w:val="0"/>
          <w:sz w:val="32"/>
          <w:szCs w:val="32"/>
          <w:lang w:val="en-US" w:eastAsia="zh-CN"/>
        </w:rPr>
        <w:t>单位</w:t>
      </w:r>
      <w:r>
        <w:rPr>
          <w:rFonts w:hint="eastAsia" w:ascii="楷体_GB2312" w:hAnsi="楷体_GB2312" w:eastAsia="楷体_GB2312" w:cs="楷体_GB2312"/>
          <w:b/>
          <w:bCs/>
          <w:kern w:val="0"/>
          <w:sz w:val="32"/>
          <w:szCs w:val="32"/>
        </w:rPr>
        <w:t>项目绩效评价结果。</w:t>
      </w:r>
    </w:p>
    <w:p w14:paraId="1552FDEA">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Times New Roman" w:cs="Times New Roman"/>
          <w:kern w:val="0"/>
          <w:sz w:val="24"/>
        </w:rPr>
      </w:pPr>
      <w:r>
        <w:rPr>
          <w:rFonts w:hint="eastAsia" w:ascii="仿宋_GB2312" w:hAnsi="黑体" w:eastAsia="仿宋_GB2312" w:cs="Times New Roman"/>
          <w:kern w:val="2"/>
          <w:sz w:val="32"/>
          <w:szCs w:val="32"/>
          <w:highlight w:val="none"/>
          <w:lang w:val="en-US" w:eastAsia="zh-CN" w:bidi="ar-SA"/>
        </w:rPr>
        <w:t>我</w:t>
      </w:r>
      <w:r>
        <w:rPr>
          <w:rFonts w:hint="eastAsia" w:ascii="仿宋_GB2312" w:hAnsi="黑体" w:eastAsia="仿宋_GB2312" w:cs="Times New Roman"/>
          <w:kern w:val="2"/>
          <w:sz w:val="32"/>
          <w:szCs w:val="32"/>
          <w:lang w:val="en-US" w:eastAsia="zh-CN" w:bidi="ar-SA"/>
        </w:rPr>
        <w:t>单位未开展单位项目绩效评价，所有项目绩效评价均为自评。</w:t>
      </w:r>
    </w:p>
    <w:p w14:paraId="2C2A7075">
      <w:pPr>
        <w:pStyle w:val="29"/>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auto"/>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（四）单位预算绩效管理制度和核心绩效指标标准体系建设情况。</w:t>
      </w:r>
    </w:p>
    <w:p w14:paraId="2E830867">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黑体" w:eastAsia="仿宋_GB2312" w:cs="Times New Roman"/>
          <w:kern w:val="2"/>
          <w:sz w:val="32"/>
          <w:szCs w:val="32"/>
          <w:lang w:val="en-US" w:eastAsia="zh-CN" w:bidi="ar-SA"/>
        </w:rPr>
      </w:pPr>
      <w:r>
        <w:rPr>
          <w:rFonts w:hint="eastAsia" w:ascii="仿宋_GB2312" w:hAnsi="黑体" w:eastAsia="仿宋_GB2312" w:cs="Times New Roman"/>
          <w:kern w:val="2"/>
          <w:sz w:val="32"/>
          <w:szCs w:val="32"/>
          <w:lang w:val="en-US" w:eastAsia="zh-CN" w:bidi="ar-SA"/>
        </w:rPr>
        <w:t>我单位已建立完善预算绩效管理制度，规范项目申报、监控、自评全流程。严格按照自治区公安厅编制的预算绩效核心指标库的要求填报，匹配核心指标和辅助指标，严禁脱离指标库自行设立指标。</w:t>
      </w:r>
    </w:p>
    <w:p w14:paraId="525BB063">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Times New Roman" w:hAnsi="Times New Roman" w:eastAsia="Times New Roman" w:cs="Times New Roman"/>
          <w:kern w:val="0"/>
          <w:sz w:val="24"/>
        </w:rPr>
      </w:pPr>
    </w:p>
    <w:p w14:paraId="52323CEB">
      <w:pPr>
        <w:pStyle w:val="3"/>
        <w:keepNext w:val="0"/>
        <w:keepLines w:val="0"/>
        <w:pageBreakBefore w:val="0"/>
        <w:widowControl/>
        <w:kinsoku/>
        <w:wordWrap/>
        <w:overflowPunct/>
        <w:topLinePunct w:val="0"/>
        <w:autoSpaceDE/>
        <w:autoSpaceDN/>
        <w:bidi w:val="0"/>
        <w:adjustRightInd/>
        <w:snapToGrid/>
        <w:spacing w:before="0" w:after="0" w:line="560" w:lineRule="exact"/>
        <w:ind w:left="0" w:right="0"/>
        <w:jc w:val="center"/>
        <w:textAlignment w:val="auto"/>
        <w:rPr>
          <w:rFonts w:ascii="方正小标宋简体" w:hAnsi="方正小标宋简体" w:eastAsia="方正小标宋简体" w:cs="方正小标宋简体"/>
          <w:kern w:val="0"/>
          <w:sz w:val="36"/>
          <w:szCs w:val="36"/>
        </w:rPr>
      </w:pPr>
      <w:r>
        <w:rPr>
          <w:rFonts w:ascii="方正小标宋简体" w:hAnsi="方正小标宋简体" w:eastAsia="方正小标宋简体" w:cs="方正小标宋简体"/>
          <w:b w:val="0"/>
          <w:bCs w:val="0"/>
          <w:kern w:val="0"/>
          <w:sz w:val="44"/>
          <w:szCs w:val="44"/>
        </w:rPr>
        <w:t>第三部分  名词解释</w:t>
      </w:r>
    </w:p>
    <w:p w14:paraId="5B677025"/>
    <w:p w14:paraId="219E5B14">
      <w:pPr>
        <w:pStyle w:val="29"/>
        <w:keepNext w:val="0"/>
        <w:keepLines w:val="0"/>
        <w:pageBreakBefore w:val="0"/>
        <w:widowControl/>
        <w:kinsoku/>
        <w:wordWrap/>
        <w:overflowPunct/>
        <w:topLinePunct w:val="0"/>
        <w:autoSpaceDE/>
        <w:autoSpaceDN/>
        <w:bidi w:val="0"/>
        <w:adjustRightInd/>
        <w:snapToGrid/>
        <w:spacing w:line="560" w:lineRule="exact"/>
        <w:ind w:firstLine="643"/>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一、财政拨款收入：</w:t>
      </w:r>
      <w:r>
        <w:rPr>
          <w:rFonts w:hint="eastAsia" w:ascii="仿宋_GB2312" w:hAnsi="仿宋_GB2312" w:eastAsia="仿宋_GB2312" w:cs="仿宋_GB2312"/>
          <w:kern w:val="0"/>
          <w:sz w:val="32"/>
          <w:szCs w:val="32"/>
        </w:rPr>
        <w:t>从同级财政部门取得的各类财政拨款，包括一般公共预算财政拨款、政府性基金预算财政拨款、国有资本经营预算财政拨款。</w:t>
      </w:r>
    </w:p>
    <w:p w14:paraId="0BF5503D">
      <w:pPr>
        <w:pStyle w:val="29"/>
        <w:keepNext w:val="0"/>
        <w:keepLines w:val="0"/>
        <w:pageBreakBefore w:val="0"/>
        <w:widowControl/>
        <w:kinsoku/>
        <w:wordWrap/>
        <w:overflowPunct/>
        <w:topLinePunct w:val="0"/>
        <w:autoSpaceDE/>
        <w:autoSpaceDN/>
        <w:bidi w:val="0"/>
        <w:adjustRightInd/>
        <w:snapToGrid/>
        <w:spacing w:line="560" w:lineRule="exact"/>
        <w:ind w:firstLine="643"/>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lang w:val="en-US" w:eastAsia="zh-CN"/>
        </w:rPr>
        <w:t>二</w:t>
      </w:r>
      <w:r>
        <w:rPr>
          <w:rFonts w:hint="eastAsia" w:ascii="仿宋_GB2312" w:hAnsi="仿宋_GB2312" w:eastAsia="仿宋_GB2312" w:cs="仿宋_GB2312"/>
          <w:b/>
          <w:bCs/>
          <w:kern w:val="0"/>
          <w:sz w:val="32"/>
          <w:szCs w:val="32"/>
        </w:rPr>
        <w:t>、年初结转和结余：</w:t>
      </w:r>
      <w:r>
        <w:rPr>
          <w:rFonts w:hint="eastAsia" w:ascii="仿宋_GB2312" w:hAnsi="仿宋_GB2312" w:eastAsia="仿宋_GB2312" w:cs="仿宋_GB2312"/>
          <w:kern w:val="0"/>
          <w:sz w:val="32"/>
          <w:szCs w:val="32"/>
        </w:rPr>
        <w:t>指单位上年结转本年使用的基本支出结转、项目支出结转和结余、经营结余。</w:t>
      </w:r>
    </w:p>
    <w:p w14:paraId="48CFD8AC">
      <w:pPr>
        <w:pStyle w:val="29"/>
        <w:keepNext w:val="0"/>
        <w:keepLines w:val="0"/>
        <w:pageBreakBefore w:val="0"/>
        <w:widowControl/>
        <w:kinsoku/>
        <w:wordWrap/>
        <w:overflowPunct/>
        <w:topLinePunct w:val="0"/>
        <w:autoSpaceDE/>
        <w:autoSpaceDN/>
        <w:bidi w:val="0"/>
        <w:adjustRightInd/>
        <w:snapToGrid/>
        <w:spacing w:line="560" w:lineRule="exact"/>
        <w:ind w:firstLine="643"/>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lang w:val="en-US" w:eastAsia="zh-CN"/>
        </w:rPr>
        <w:t>三</w:t>
      </w:r>
      <w:r>
        <w:rPr>
          <w:rFonts w:hint="eastAsia" w:ascii="仿宋_GB2312" w:hAnsi="仿宋_GB2312" w:eastAsia="仿宋_GB2312" w:cs="仿宋_GB2312"/>
          <w:b/>
          <w:bCs/>
          <w:kern w:val="0"/>
          <w:sz w:val="32"/>
          <w:szCs w:val="32"/>
        </w:rPr>
        <w:t>、年末结转和结余资金：</w:t>
      </w:r>
      <w:r>
        <w:rPr>
          <w:rFonts w:hint="eastAsia" w:ascii="仿宋_GB2312" w:hAnsi="仿宋_GB2312" w:eastAsia="仿宋_GB2312" w:cs="仿宋_GB2312"/>
          <w:kern w:val="0"/>
          <w:sz w:val="32"/>
          <w:szCs w:val="32"/>
        </w:rPr>
        <w:t>指单位结转下年的基本支出结转、项目支出结转和结余、经营结余。</w:t>
      </w:r>
    </w:p>
    <w:p w14:paraId="47DC7398">
      <w:pPr>
        <w:pStyle w:val="29"/>
        <w:keepNext w:val="0"/>
        <w:keepLines w:val="0"/>
        <w:pageBreakBefore w:val="0"/>
        <w:widowControl/>
        <w:kinsoku/>
        <w:wordWrap/>
        <w:overflowPunct/>
        <w:topLinePunct w:val="0"/>
        <w:autoSpaceDE/>
        <w:autoSpaceDN/>
        <w:bidi w:val="0"/>
        <w:adjustRightInd/>
        <w:snapToGrid/>
        <w:spacing w:line="560" w:lineRule="exact"/>
        <w:ind w:firstLine="643"/>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lang w:val="en-US" w:eastAsia="zh-CN"/>
        </w:rPr>
        <w:t>四</w:t>
      </w:r>
      <w:r>
        <w:rPr>
          <w:rFonts w:hint="eastAsia" w:ascii="仿宋_GB2312" w:hAnsi="仿宋_GB2312" w:eastAsia="仿宋_GB2312" w:cs="仿宋_GB2312"/>
          <w:b/>
          <w:bCs/>
          <w:kern w:val="0"/>
          <w:sz w:val="32"/>
          <w:szCs w:val="32"/>
        </w:rPr>
        <w:t>、基本支出：</w:t>
      </w:r>
      <w:r>
        <w:rPr>
          <w:rFonts w:hint="eastAsia" w:ascii="仿宋_GB2312" w:hAnsi="仿宋_GB2312" w:eastAsia="仿宋_GB2312" w:cs="仿宋_GB2312"/>
          <w:kern w:val="0"/>
          <w:sz w:val="32"/>
          <w:szCs w:val="32"/>
        </w:rPr>
        <w:t>指为保障机构正常运转、完成日常工作任务所发生的支出，包括人员经费和公用经费。</w:t>
      </w:r>
    </w:p>
    <w:p w14:paraId="72A7FA03">
      <w:pPr>
        <w:pStyle w:val="29"/>
        <w:keepNext w:val="0"/>
        <w:keepLines w:val="0"/>
        <w:pageBreakBefore w:val="0"/>
        <w:widowControl/>
        <w:kinsoku/>
        <w:wordWrap/>
        <w:overflowPunct/>
        <w:topLinePunct w:val="0"/>
        <w:autoSpaceDE/>
        <w:autoSpaceDN/>
        <w:bidi w:val="0"/>
        <w:adjustRightInd/>
        <w:snapToGrid/>
        <w:spacing w:line="560" w:lineRule="exact"/>
        <w:ind w:firstLine="643"/>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b/>
          <w:bCs/>
          <w:color w:val="000000"/>
          <w:kern w:val="0"/>
          <w:sz w:val="32"/>
          <w:szCs w:val="32"/>
          <w:lang w:val="en-US" w:eastAsia="zh-CN"/>
        </w:rPr>
        <w:t>五</w:t>
      </w:r>
      <w:r>
        <w:rPr>
          <w:rFonts w:hint="eastAsia" w:ascii="仿宋_GB2312" w:hAnsi="仿宋_GB2312" w:eastAsia="仿宋_GB2312" w:cs="仿宋_GB2312"/>
          <w:b/>
          <w:bCs/>
          <w:color w:val="000000"/>
          <w:kern w:val="0"/>
          <w:sz w:val="32"/>
          <w:szCs w:val="32"/>
        </w:rPr>
        <w:t>、项目支出：</w:t>
      </w:r>
      <w:r>
        <w:rPr>
          <w:rFonts w:hint="eastAsia" w:ascii="仿宋_GB2312" w:hAnsi="仿宋_GB2312" w:eastAsia="仿宋_GB2312" w:cs="仿宋_GB2312"/>
          <w:color w:val="000000"/>
          <w:kern w:val="0"/>
          <w:sz w:val="32"/>
          <w:szCs w:val="32"/>
        </w:rPr>
        <w:t>指单位为完成特定的行政工作任务或事业发展目标，在基本支出之外发生的各项支出。</w:t>
      </w:r>
    </w:p>
    <w:p w14:paraId="710CB21D">
      <w:pPr>
        <w:pStyle w:val="29"/>
        <w:keepNext w:val="0"/>
        <w:keepLines w:val="0"/>
        <w:pageBreakBefore w:val="0"/>
        <w:widowControl/>
        <w:kinsoku/>
        <w:wordWrap/>
        <w:overflowPunct/>
        <w:topLinePunct w:val="0"/>
        <w:autoSpaceDE/>
        <w:autoSpaceDN/>
        <w:bidi w:val="0"/>
        <w:adjustRightInd/>
        <w:snapToGrid/>
        <w:spacing w:line="560" w:lineRule="exact"/>
        <w:ind w:firstLine="643"/>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六、“三公”经费：</w:t>
      </w:r>
      <w:r>
        <w:rPr>
          <w:rFonts w:hint="eastAsia" w:ascii="仿宋_GB2312" w:hAnsi="仿宋_GB2312" w:eastAsia="仿宋_GB2312" w:cs="仿宋_GB2312"/>
          <w:kern w:val="0"/>
          <w:sz w:val="32"/>
          <w:szCs w:val="32"/>
        </w:rPr>
        <w:t>指单位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购置支出（含车辆购置税、牌照费）以及按规定保留的公务用车燃料费、</w:t>
      </w:r>
      <w:r>
        <w:rPr>
          <w:rFonts w:hint="eastAsia" w:ascii="仿宋_GB2312" w:hAnsi="仿宋_GB2312" w:eastAsia="仿宋_GB2312" w:cs="仿宋_GB2312"/>
          <w:color w:val="000000"/>
          <w:kern w:val="0"/>
          <w:sz w:val="32"/>
          <w:szCs w:val="32"/>
        </w:rPr>
        <w:t>新能源汽车充电费、</w:t>
      </w:r>
      <w:r>
        <w:rPr>
          <w:rFonts w:hint="eastAsia" w:ascii="仿宋_GB2312" w:hAnsi="仿宋_GB2312" w:eastAsia="仿宋_GB2312" w:cs="仿宋_GB2312"/>
          <w:kern w:val="0"/>
          <w:sz w:val="32"/>
          <w:szCs w:val="32"/>
        </w:rPr>
        <w:t>维修费、过路过桥费、保险费、安全奖励费用等支出；公务接待费反映单位按规定开支的各类公务接待（含外宾接待）费用。</w:t>
      </w:r>
    </w:p>
    <w:p w14:paraId="452246E9">
      <w:pPr>
        <w:pStyle w:val="29"/>
        <w:keepNext w:val="0"/>
        <w:keepLines w:val="0"/>
        <w:pageBreakBefore w:val="0"/>
        <w:widowControl/>
        <w:kinsoku/>
        <w:wordWrap/>
        <w:overflowPunct/>
        <w:topLinePunct w:val="0"/>
        <w:autoSpaceDE/>
        <w:autoSpaceDN/>
        <w:bidi w:val="0"/>
        <w:adjustRightInd/>
        <w:snapToGrid/>
        <w:spacing w:line="560" w:lineRule="exact"/>
        <w:ind w:firstLine="643"/>
        <w:jc w:val="left"/>
        <w:textAlignment w:val="auto"/>
        <w:rPr>
          <w:rFonts w:ascii="Times New Roman" w:hAnsi="Times New Roman" w:eastAsia="Times New Roman" w:cs="Times New Roman"/>
          <w:kern w:val="0"/>
          <w:sz w:val="24"/>
        </w:rPr>
      </w:pPr>
      <w:r>
        <w:rPr>
          <w:rFonts w:hint="eastAsia" w:ascii="仿宋_GB2312" w:hAnsi="仿宋_GB2312" w:eastAsia="仿宋_GB2312" w:cs="仿宋_GB2312"/>
          <w:b/>
          <w:bCs/>
          <w:kern w:val="0"/>
          <w:sz w:val="32"/>
          <w:szCs w:val="32"/>
        </w:rPr>
        <w:t>七、机关运行经费：</w:t>
      </w:r>
      <w:r>
        <w:rPr>
          <w:rFonts w:hint="eastAsia" w:ascii="仿宋_GB2312" w:hAnsi="仿宋_GB2312" w:eastAsia="仿宋_GB2312" w:cs="仿宋_GB2312"/>
          <w:kern w:val="0"/>
          <w:sz w:val="32"/>
          <w:szCs w:val="32"/>
        </w:rPr>
        <w:t>指行政单位和参照公务员法管理的事业单位财政拨款基本支出中的公用经费支出。</w:t>
      </w:r>
    </w:p>
    <w:p w14:paraId="11E13A74">
      <w:pPr>
        <w:pStyle w:val="3"/>
        <w:keepNext w:val="0"/>
        <w:keepLines w:val="0"/>
        <w:pageBreakBefore w:val="0"/>
        <w:widowControl/>
        <w:kinsoku/>
        <w:wordWrap/>
        <w:overflowPunct/>
        <w:topLinePunct w:val="0"/>
        <w:autoSpaceDE/>
        <w:autoSpaceDN/>
        <w:bidi w:val="0"/>
        <w:adjustRightInd/>
        <w:snapToGrid/>
        <w:spacing w:before="0" w:after="0" w:line="560" w:lineRule="exact"/>
        <w:jc w:val="center"/>
        <w:textAlignment w:val="auto"/>
        <w:rPr>
          <w:rFonts w:ascii="fang_zheng_xiao_biao_song_ti" w:hAnsi="fang_zheng_xiao_biao_song_ti" w:eastAsia="fang_zheng_xiao_biao_song_ti" w:cs="fang_zheng_xiao_biao_song_ti"/>
          <w:kern w:val="0"/>
          <w:sz w:val="36"/>
          <w:szCs w:val="36"/>
        </w:rPr>
      </w:pPr>
    </w:p>
    <w:p w14:paraId="546BD8CD">
      <w:pPr>
        <w:pStyle w:val="3"/>
        <w:keepNext w:val="0"/>
        <w:keepLines w:val="0"/>
        <w:pageBreakBefore w:val="0"/>
        <w:widowControl/>
        <w:kinsoku/>
        <w:wordWrap/>
        <w:overflowPunct/>
        <w:topLinePunct w:val="0"/>
        <w:autoSpaceDE/>
        <w:autoSpaceDN/>
        <w:bidi w:val="0"/>
        <w:adjustRightInd/>
        <w:snapToGrid/>
        <w:spacing w:before="0" w:after="0" w:line="560" w:lineRule="exact"/>
        <w:jc w:val="center"/>
        <w:textAlignment w:val="auto"/>
        <w:rPr>
          <w:rFonts w:ascii="方正小标宋简体" w:hAnsi="方正小标宋简体" w:eastAsia="方正小标宋简体" w:cs="方正小标宋简体"/>
          <w:b w:val="0"/>
          <w:bCs w:val="0"/>
          <w:kern w:val="0"/>
          <w:sz w:val="44"/>
          <w:szCs w:val="44"/>
        </w:rPr>
      </w:pPr>
      <w:r>
        <w:rPr>
          <w:rFonts w:ascii="方正小标宋简体" w:hAnsi="方正小标宋简体" w:eastAsia="方正小标宋简体" w:cs="方正小标宋简体"/>
          <w:b w:val="0"/>
          <w:bCs w:val="0"/>
          <w:kern w:val="0"/>
          <w:sz w:val="44"/>
          <w:szCs w:val="44"/>
        </w:rPr>
        <w:t>第四部分  决算公开联系方式及</w:t>
      </w:r>
    </w:p>
    <w:p w14:paraId="5BF69CA8">
      <w:pPr>
        <w:pStyle w:val="3"/>
        <w:keepNext w:val="0"/>
        <w:keepLines w:val="0"/>
        <w:pageBreakBefore w:val="0"/>
        <w:widowControl/>
        <w:kinsoku/>
        <w:wordWrap/>
        <w:overflowPunct/>
        <w:topLinePunct w:val="0"/>
        <w:autoSpaceDE/>
        <w:autoSpaceDN/>
        <w:bidi w:val="0"/>
        <w:adjustRightInd/>
        <w:snapToGrid/>
        <w:spacing w:before="0" w:after="0" w:line="560" w:lineRule="exact"/>
        <w:jc w:val="center"/>
        <w:textAlignment w:val="auto"/>
        <w:rPr>
          <w:rFonts w:ascii="Times New Roman" w:hAnsi="Times New Roman" w:eastAsia="Times New Roman" w:cs="Times New Roman"/>
          <w:b/>
          <w:bCs/>
          <w:kern w:val="0"/>
          <w:sz w:val="36"/>
          <w:szCs w:val="36"/>
        </w:rPr>
      </w:pPr>
      <w:r>
        <w:rPr>
          <w:rFonts w:ascii="方正小标宋简体" w:hAnsi="方正小标宋简体" w:eastAsia="方正小标宋简体" w:cs="方正小标宋简体"/>
          <w:b w:val="0"/>
          <w:bCs w:val="0"/>
          <w:kern w:val="0"/>
          <w:sz w:val="44"/>
          <w:szCs w:val="44"/>
        </w:rPr>
        <w:t>信息反馈渠道</w:t>
      </w:r>
    </w:p>
    <w:p w14:paraId="4F1B9F09">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Times New Roman" w:hAnsi="Times New Roman" w:eastAsia="Times New Roman" w:cs="Times New Roman"/>
          <w:kern w:val="0"/>
          <w:sz w:val="24"/>
        </w:rPr>
      </w:pPr>
    </w:p>
    <w:p w14:paraId="23D82626">
      <w:pPr>
        <w:pStyle w:val="29"/>
        <w:keepNext w:val="0"/>
        <w:keepLines w:val="0"/>
        <w:pageBreakBefore w:val="0"/>
        <w:widowControl/>
        <w:kinsoku/>
        <w:wordWrap/>
        <w:overflowPunct/>
        <w:topLinePunct w:val="0"/>
        <w:autoSpaceDE/>
        <w:autoSpaceDN/>
        <w:bidi w:val="0"/>
        <w:adjustRightInd/>
        <w:snapToGrid/>
        <w:spacing w:line="560" w:lineRule="exact"/>
        <w:ind w:firstLine="643"/>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本单位决算公开信息反馈和联系方式：</w:t>
      </w:r>
    </w:p>
    <w:p w14:paraId="64C05957">
      <w:pPr>
        <w:pStyle w:val="29"/>
        <w:keepNext w:val="0"/>
        <w:keepLines w:val="0"/>
        <w:pageBreakBefore w:val="0"/>
        <w:widowControl/>
        <w:kinsoku/>
        <w:wordWrap/>
        <w:overflowPunct/>
        <w:topLinePunct w:val="0"/>
        <w:autoSpaceDE/>
        <w:autoSpaceDN/>
        <w:bidi w:val="0"/>
        <w:adjustRightInd/>
        <w:snapToGrid/>
        <w:spacing w:line="560" w:lineRule="exact"/>
        <w:ind w:firstLine="643"/>
        <w:jc w:val="left"/>
        <w:textAlignment w:val="auto"/>
        <w:rPr>
          <w:rFonts w:ascii="Times New Roman" w:hAnsi="Times New Roman" w:eastAsia="Times New Roman" w:cs="Times New Roman"/>
          <w:kern w:val="0"/>
          <w:sz w:val="24"/>
        </w:rPr>
      </w:pPr>
      <w:r>
        <w:rPr>
          <w:rFonts w:hint="eastAsia" w:ascii="仿宋_GB2312" w:hAnsi="仿宋_GB2312" w:eastAsia="仿宋_GB2312" w:cs="仿宋_GB2312"/>
          <w:kern w:val="0"/>
          <w:sz w:val="32"/>
          <w:szCs w:val="32"/>
        </w:rPr>
        <w:t>联系人：</w:t>
      </w:r>
      <w:r>
        <w:rPr>
          <w:rFonts w:hint="eastAsia" w:ascii="仿宋_GB2312" w:hAnsi="仿宋_GB2312" w:eastAsia="仿宋_GB2312" w:cs="仿宋_GB2312"/>
          <w:kern w:val="0"/>
          <w:sz w:val="32"/>
          <w:szCs w:val="32"/>
          <w:lang w:eastAsia="en-US"/>
        </w:rPr>
        <w:t>马东尧              </w:t>
      </w:r>
      <w:r>
        <w:rPr>
          <w:rFonts w:hint="eastAsia" w:ascii="仿宋_GB2312" w:hAnsi="仿宋_GB2312" w:eastAsia="仿宋_GB2312" w:cs="仿宋_GB2312"/>
          <w:kern w:val="0"/>
          <w:sz w:val="32"/>
          <w:szCs w:val="32"/>
        </w:rPr>
        <w:t>联系电话：</w:t>
      </w:r>
      <w:r>
        <w:rPr>
          <w:rFonts w:hint="eastAsia" w:ascii="仿宋_GB2312" w:hAnsi="仿宋_GB2312" w:eastAsia="仿宋_GB2312" w:cs="仿宋_GB2312"/>
          <w:kern w:val="0"/>
          <w:sz w:val="32"/>
          <w:szCs w:val="32"/>
          <w:lang w:eastAsia="en-US"/>
        </w:rPr>
        <w:t>0470-7461347</w:t>
      </w:r>
      <w:r>
        <w:rPr>
          <w:rFonts w:ascii="Calibri" w:hAnsi="Calibri" w:eastAsia="Calibri" w:cs="Calibri"/>
          <w:kern w:val="0"/>
          <w:sz w:val="32"/>
          <w:szCs w:val="32"/>
          <w:lang w:eastAsia="en-US"/>
        </w:rPr>
        <w:t> </w:t>
      </w:r>
    </w:p>
    <w:p w14:paraId="1D1EB11D">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Times New Roman" w:hAnsi="Times New Roman" w:eastAsia="Times New Roman" w:cs="Times New Roman"/>
          <w:kern w:val="0"/>
          <w:sz w:val="24"/>
        </w:rPr>
      </w:pPr>
    </w:p>
    <w:p w14:paraId="1F99A40A">
      <w:pPr>
        <w:pStyle w:val="3"/>
        <w:keepNext w:val="0"/>
        <w:keepLines w:val="0"/>
        <w:pageBreakBefore w:val="0"/>
        <w:widowControl/>
        <w:kinsoku/>
        <w:wordWrap/>
        <w:overflowPunct/>
        <w:topLinePunct w:val="0"/>
        <w:autoSpaceDE/>
        <w:autoSpaceDN/>
        <w:bidi w:val="0"/>
        <w:adjustRightInd/>
        <w:snapToGrid/>
        <w:spacing w:before="0" w:after="0" w:line="560" w:lineRule="exact"/>
        <w:jc w:val="center"/>
        <w:textAlignment w:val="auto"/>
        <w:rPr>
          <w:rFonts w:ascii="Times New Roman" w:hAnsi="Times New Roman" w:eastAsia="Times New Roman" w:cs="Times New Roman"/>
          <w:b/>
          <w:bCs/>
          <w:kern w:val="0"/>
          <w:sz w:val="36"/>
          <w:szCs w:val="36"/>
        </w:rPr>
      </w:pPr>
      <w:r>
        <w:rPr>
          <w:rFonts w:ascii="方正小标宋简体" w:hAnsi="方正小标宋简体" w:eastAsia="方正小标宋简体" w:cs="方正小标宋简体"/>
          <w:b w:val="0"/>
          <w:bCs w:val="0"/>
          <w:kern w:val="0"/>
          <w:sz w:val="44"/>
          <w:szCs w:val="44"/>
        </w:rPr>
        <w:t>第五部分  单位决算表</w:t>
      </w:r>
    </w:p>
    <w:p w14:paraId="6651449D">
      <w:pPr>
        <w:pStyle w:val="29"/>
        <w:keepNext w:val="0"/>
        <w:keepLines w:val="0"/>
        <w:pageBreakBefore w:val="0"/>
        <w:widowControl/>
        <w:kinsoku/>
        <w:wordWrap/>
        <w:overflowPunct/>
        <w:topLinePunct w:val="0"/>
        <w:autoSpaceDE/>
        <w:autoSpaceDN/>
        <w:bidi w:val="0"/>
        <w:adjustRightInd/>
        <w:snapToGrid/>
        <w:spacing w:line="560" w:lineRule="exact"/>
        <w:ind w:left="0" w:right="0"/>
        <w:jc w:val="center"/>
        <w:textAlignment w:val="auto"/>
        <w:rPr>
          <w:rFonts w:ascii="Times New Roman" w:hAnsi="Times New Roman" w:eastAsia="Times New Roman" w:cs="Times New Roman"/>
          <w:kern w:val="0"/>
          <w:sz w:val="24"/>
        </w:rPr>
      </w:pPr>
      <w:r>
        <w:rPr>
          <w:rFonts w:ascii="Times New Roman" w:hAnsi="Times New Roman" w:eastAsia="Times New Roman" w:cs="Times New Roman"/>
          <w:kern w:val="0"/>
          <w:sz w:val="24"/>
          <w:lang w:eastAsia="en-US"/>
        </w:rPr>
        <w:t> </w:t>
      </w:r>
    </w:p>
    <w:p w14:paraId="1AF6765B">
      <w:pPr>
        <w:pStyle w:val="29"/>
        <w:keepNext w:val="0"/>
        <w:keepLines w:val="0"/>
        <w:pageBreakBefore w:val="0"/>
        <w:widowControl/>
        <w:kinsoku/>
        <w:wordWrap/>
        <w:overflowPunct/>
        <w:topLinePunct w:val="0"/>
        <w:autoSpaceDE/>
        <w:autoSpaceDN/>
        <w:bidi w:val="0"/>
        <w:adjustRightInd/>
        <w:snapToGrid/>
        <w:spacing w:line="560" w:lineRule="exact"/>
        <w:ind w:firstLine="643"/>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一、收入支出决算总表</w:t>
      </w:r>
    </w:p>
    <w:p w14:paraId="5D149422">
      <w:pPr>
        <w:pStyle w:val="29"/>
        <w:keepNext w:val="0"/>
        <w:keepLines w:val="0"/>
        <w:pageBreakBefore w:val="0"/>
        <w:widowControl/>
        <w:kinsoku/>
        <w:wordWrap/>
        <w:overflowPunct/>
        <w:topLinePunct w:val="0"/>
        <w:autoSpaceDE/>
        <w:autoSpaceDN/>
        <w:bidi w:val="0"/>
        <w:adjustRightInd/>
        <w:snapToGrid/>
        <w:spacing w:line="560" w:lineRule="exact"/>
        <w:ind w:firstLine="643"/>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二、收入决算表</w:t>
      </w:r>
    </w:p>
    <w:p w14:paraId="07E0B3EB">
      <w:pPr>
        <w:pStyle w:val="29"/>
        <w:keepNext w:val="0"/>
        <w:keepLines w:val="0"/>
        <w:pageBreakBefore w:val="0"/>
        <w:widowControl/>
        <w:kinsoku/>
        <w:wordWrap/>
        <w:overflowPunct/>
        <w:topLinePunct w:val="0"/>
        <w:autoSpaceDE/>
        <w:autoSpaceDN/>
        <w:bidi w:val="0"/>
        <w:adjustRightInd/>
        <w:snapToGrid/>
        <w:spacing w:line="560" w:lineRule="exact"/>
        <w:ind w:firstLine="643"/>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三、支出决算表</w:t>
      </w:r>
    </w:p>
    <w:p w14:paraId="5AAA3821">
      <w:pPr>
        <w:pStyle w:val="29"/>
        <w:keepNext w:val="0"/>
        <w:keepLines w:val="0"/>
        <w:pageBreakBefore w:val="0"/>
        <w:widowControl/>
        <w:kinsoku/>
        <w:wordWrap/>
        <w:overflowPunct/>
        <w:topLinePunct w:val="0"/>
        <w:autoSpaceDE/>
        <w:autoSpaceDN/>
        <w:bidi w:val="0"/>
        <w:adjustRightInd/>
        <w:snapToGrid/>
        <w:spacing w:line="560" w:lineRule="exact"/>
        <w:ind w:firstLine="643"/>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四、财政拨款收入支出决算总表</w:t>
      </w:r>
    </w:p>
    <w:p w14:paraId="6F0D5074">
      <w:pPr>
        <w:pStyle w:val="29"/>
        <w:keepNext w:val="0"/>
        <w:keepLines w:val="0"/>
        <w:pageBreakBefore w:val="0"/>
        <w:widowControl/>
        <w:kinsoku/>
        <w:wordWrap/>
        <w:overflowPunct/>
        <w:topLinePunct w:val="0"/>
        <w:autoSpaceDE/>
        <w:autoSpaceDN/>
        <w:bidi w:val="0"/>
        <w:adjustRightInd/>
        <w:snapToGrid/>
        <w:spacing w:line="560" w:lineRule="exact"/>
        <w:ind w:firstLine="643"/>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五、一般公共预算财政拨款支出决算表</w:t>
      </w:r>
    </w:p>
    <w:p w14:paraId="56E278E6">
      <w:pPr>
        <w:pStyle w:val="29"/>
        <w:keepNext w:val="0"/>
        <w:keepLines w:val="0"/>
        <w:pageBreakBefore w:val="0"/>
        <w:widowControl/>
        <w:kinsoku/>
        <w:wordWrap/>
        <w:overflowPunct/>
        <w:topLinePunct w:val="0"/>
        <w:autoSpaceDE/>
        <w:autoSpaceDN/>
        <w:bidi w:val="0"/>
        <w:adjustRightInd/>
        <w:snapToGrid/>
        <w:spacing w:line="560" w:lineRule="exact"/>
        <w:ind w:firstLine="643"/>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六、一般公共预算财政拨款基本支出决算明细表</w:t>
      </w:r>
    </w:p>
    <w:p w14:paraId="3D84557F">
      <w:pPr>
        <w:pStyle w:val="29"/>
        <w:keepNext w:val="0"/>
        <w:keepLines w:val="0"/>
        <w:pageBreakBefore w:val="0"/>
        <w:widowControl/>
        <w:kinsoku/>
        <w:wordWrap/>
        <w:overflowPunct/>
        <w:topLinePunct w:val="0"/>
        <w:autoSpaceDE/>
        <w:autoSpaceDN/>
        <w:bidi w:val="0"/>
        <w:adjustRightInd/>
        <w:snapToGrid/>
        <w:spacing w:line="560" w:lineRule="exact"/>
        <w:ind w:firstLine="643"/>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七、一般公共预算财政拨款项目支出决算明细表</w:t>
      </w:r>
    </w:p>
    <w:p w14:paraId="28CE8D44">
      <w:pPr>
        <w:pStyle w:val="29"/>
        <w:keepNext w:val="0"/>
        <w:keepLines w:val="0"/>
        <w:pageBreakBefore w:val="0"/>
        <w:widowControl/>
        <w:kinsoku/>
        <w:wordWrap/>
        <w:overflowPunct/>
        <w:topLinePunct w:val="0"/>
        <w:autoSpaceDE/>
        <w:autoSpaceDN/>
        <w:bidi w:val="0"/>
        <w:adjustRightInd/>
        <w:snapToGrid/>
        <w:spacing w:line="560" w:lineRule="exact"/>
        <w:ind w:firstLine="643"/>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八、政府性基金预算财政拨款收入支出决算表</w:t>
      </w:r>
    </w:p>
    <w:p w14:paraId="6E2DB14C">
      <w:pPr>
        <w:pStyle w:val="29"/>
        <w:keepNext w:val="0"/>
        <w:keepLines w:val="0"/>
        <w:pageBreakBefore w:val="0"/>
        <w:widowControl/>
        <w:kinsoku/>
        <w:wordWrap/>
        <w:overflowPunct/>
        <w:topLinePunct w:val="0"/>
        <w:autoSpaceDE/>
        <w:autoSpaceDN/>
        <w:bidi w:val="0"/>
        <w:adjustRightInd/>
        <w:snapToGrid/>
        <w:spacing w:line="560" w:lineRule="exact"/>
        <w:ind w:firstLine="643"/>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九、国有资本经营预算财政拨款收入支出决算表</w:t>
      </w:r>
    </w:p>
    <w:p w14:paraId="04151513">
      <w:pPr>
        <w:pStyle w:val="29"/>
        <w:keepNext w:val="0"/>
        <w:keepLines w:val="0"/>
        <w:pageBreakBefore w:val="0"/>
        <w:widowControl/>
        <w:kinsoku/>
        <w:wordWrap/>
        <w:overflowPunct/>
        <w:topLinePunct w:val="0"/>
        <w:autoSpaceDE/>
        <w:autoSpaceDN/>
        <w:bidi w:val="0"/>
        <w:adjustRightInd/>
        <w:snapToGrid/>
        <w:spacing w:line="560" w:lineRule="exact"/>
        <w:ind w:firstLine="643"/>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十、财政拨款“三公”经费支出决算表</w:t>
      </w:r>
    </w:p>
    <w:p w14:paraId="33E61EE8">
      <w:pPr>
        <w:pStyle w:val="29"/>
        <w:keepNext w:val="0"/>
        <w:keepLines w:val="0"/>
        <w:pageBreakBefore w:val="0"/>
        <w:widowControl/>
        <w:kinsoku/>
        <w:wordWrap/>
        <w:overflowPunct/>
        <w:topLinePunct w:val="0"/>
        <w:autoSpaceDE/>
        <w:autoSpaceDN/>
        <w:bidi w:val="0"/>
        <w:adjustRightInd/>
        <w:snapToGrid/>
        <w:spacing w:line="560" w:lineRule="exact"/>
        <w:ind w:firstLine="643"/>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十一、机关运行经费支出、国有资产占用情况及政府采购支出信息表</w:t>
      </w:r>
    </w:p>
    <w:p w14:paraId="5460CB80">
      <w:pPr>
        <w:pStyle w:val="29"/>
        <w:keepNext w:val="0"/>
        <w:keepLines w:val="0"/>
        <w:pageBreakBefore w:val="0"/>
        <w:widowControl/>
        <w:kinsoku/>
        <w:wordWrap/>
        <w:overflowPunct/>
        <w:topLinePunct w:val="0"/>
        <w:autoSpaceDE/>
        <w:autoSpaceDN/>
        <w:bidi w:val="0"/>
        <w:adjustRightInd/>
        <w:snapToGrid/>
        <w:spacing w:line="560" w:lineRule="exact"/>
        <w:ind w:firstLine="643"/>
        <w:jc w:val="left"/>
        <w:textAlignment w:val="auto"/>
        <w:rPr>
          <w:rFonts w:hint="eastAsia" w:ascii="仿宋_GB2312" w:hAnsi="仿宋_GB2312" w:eastAsia="仿宋_GB2312" w:cs="仿宋_GB2312"/>
          <w:kern w:val="0"/>
          <w:sz w:val="32"/>
          <w:szCs w:val="32"/>
        </w:rPr>
      </w:pPr>
    </w:p>
    <w:p w14:paraId="3704E519">
      <w:pPr>
        <w:pStyle w:val="29"/>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lang w:val="en-US" w:eastAsia="zh-CN"/>
        </w:rPr>
        <w:t>备注：</w:t>
      </w:r>
      <w:r>
        <w:rPr>
          <w:rFonts w:hint="eastAsia" w:ascii="仿宋_GB2312" w:hAnsi="仿宋_GB2312" w:eastAsia="仿宋_GB2312" w:cs="仿宋_GB2312"/>
          <w:kern w:val="0"/>
          <w:sz w:val="32"/>
          <w:szCs w:val="32"/>
          <w:lang w:val="en-US" w:eastAsia="zh-CN"/>
        </w:rPr>
        <w:t>按决算公开编制要求，决算公开报告及公开表的计数单位为万元，而2025年决算编制是以元为计数单位，因此小数点后第二位存在四舍五入的差异。</w:t>
      </w:r>
    </w:p>
    <w:p w14:paraId="53454DF8">
      <w:pPr>
        <w:pStyle w:val="29"/>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Fonts w:ascii="Times New Roman" w:hAnsi="Times New Roman" w:eastAsia="Times New Roman" w:cs="Times New Roman"/>
          <w:kern w:val="0"/>
          <w:sz w:val="24"/>
        </w:rPr>
      </w:pPr>
    </w:p>
    <w:bookmarkEnd w:id="0"/>
    <w:p w14:paraId="2D69ABE9">
      <w:pPr>
        <w:adjustRightInd w:val="0"/>
        <w:snapToGrid w:val="0"/>
        <w:rPr>
          <w:rFonts w:ascii="宋体" w:hAnsi="宋体"/>
          <w:b/>
          <w:sz w:val="32"/>
          <w:szCs w:val="32"/>
        </w:rPr>
      </w:pPr>
    </w:p>
    <w:p w14:paraId="77285646">
      <w:pPr>
        <w:adjustRightInd w:val="0"/>
        <w:snapToGrid w:val="0"/>
        <w:rPr>
          <w:rFonts w:ascii="宋体" w:hAnsi="宋体"/>
          <w:b/>
          <w:sz w:val="32"/>
          <w:szCs w:val="32"/>
        </w:rPr>
      </w:pPr>
    </w:p>
    <w:p w14:paraId="31806E33">
      <w:pPr>
        <w:tabs>
          <w:tab w:val="left" w:pos="8415"/>
        </w:tabs>
      </w:pPr>
    </w:p>
    <w:sectPr>
      <w:footerReference r:id="rId4" w:type="default"/>
      <w:pgSz w:w="11906" w:h="16838"/>
      <w:pgMar w:top="1440" w:right="1800" w:bottom="1440" w:left="1800" w:header="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42A326E4-9767-4431-9B9B-636CED1EB23D}"/>
  </w:font>
  <w:font w:name="黑体">
    <w:panose1 w:val="02010609060101010101"/>
    <w:charset w:val="86"/>
    <w:family w:val="auto"/>
    <w:pitch w:val="default"/>
    <w:sig w:usb0="800002BF" w:usb1="38CF7CFA" w:usb2="00000016" w:usb3="00000000" w:csb0="00040001" w:csb1="00000000"/>
    <w:embedRegular r:id="rId2" w:fontKey="{EB66AE1C-2794-4C30-A25B-803ACE8BD74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91066CFE-2182-41A2-BF25-D5554222536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embedRegular r:id="rId4" w:fontKey="{72D2C075-D702-44FF-B298-45101DFDCA79}"/>
  </w:font>
  <w:font w:name="仿宋">
    <w:panose1 w:val="02010609060101010101"/>
    <w:charset w:val="86"/>
    <w:family w:val="modern"/>
    <w:pitch w:val="default"/>
    <w:sig w:usb0="800002BF" w:usb1="38CF7CFA" w:usb2="00000016" w:usb3="00000000" w:csb0="00040001" w:csb1="00000000"/>
    <w:embedRegular r:id="rId5" w:fontKey="{3237C151-A677-4158-AD97-73B6C062460E}"/>
  </w:font>
  <w:font w:name="方正小标宋简体">
    <w:panose1 w:val="02000000000000000000"/>
    <w:charset w:val="86"/>
    <w:family w:val="auto"/>
    <w:pitch w:val="default"/>
    <w:sig w:usb0="00000001" w:usb1="08000000" w:usb2="00000000" w:usb3="00000000" w:csb0="00040000" w:csb1="00000000"/>
    <w:embedRegular r:id="rId6" w:fontKey="{C4BDD2F5-02FB-414B-939A-4708111B0B96}"/>
  </w:font>
  <w:font w:name="楷体_GB2312">
    <w:panose1 w:val="02010609030101010101"/>
    <w:charset w:val="86"/>
    <w:family w:val="auto"/>
    <w:pitch w:val="default"/>
    <w:sig w:usb0="00000001" w:usb1="080E0000" w:usb2="00000000" w:usb3="00000000" w:csb0="00040000" w:csb1="00000000"/>
    <w:embedRegular r:id="rId7" w:fontKey="{5F8DCDC0-2133-4A93-9516-0D4D0F6037A2}"/>
  </w:font>
  <w:font w:name="楷体">
    <w:panose1 w:val="02010609060101010101"/>
    <w:charset w:val="86"/>
    <w:family w:val="auto"/>
    <w:pitch w:val="default"/>
    <w:sig w:usb0="800002BF" w:usb1="38CF7CFA" w:usb2="00000016" w:usb3="00000000" w:csb0="00040001" w:csb1="00000000"/>
    <w:embedRegular r:id="rId8" w:fontKey="{EF755325-4721-4AC1-81B4-DA9E84350F2D}"/>
  </w:font>
  <w:font w:name="fang_zheng_xiao_biao_song_ti">
    <w:altName w:val="Segoe Print"/>
    <w:panose1 w:val="00000000000000000000"/>
    <w:charset w:val="00"/>
    <w:family w:val="auto"/>
    <w:pitch w:val="default"/>
    <w:sig w:usb0="00000000" w:usb1="00000000" w:usb2="00000000" w:usb3="00000000" w:csb0="00000000" w:csb1="00000000"/>
    <w:embedRegular r:id="rId9" w:fontKey="{B14FF22D-4A04-4DF2-A05B-26E300828969}"/>
  </w:font>
  <w:font w:name="Segoe Print">
    <w:panose1 w:val="02000600000000000000"/>
    <w:charset w:val="00"/>
    <w:family w:val="auto"/>
    <w:pitch w:val="default"/>
    <w:sig w:usb0="0000028F" w:usb1="00000000" w:usb2="00000000" w:usb3="00000000" w:csb0="2000009F" w:csb1="47010000"/>
  </w:font>
  <w:font w:name="WPSEMBED1">
    <w:panose1 w:val="0201060903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DA300">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0E9BA">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30</w:t>
    </w:r>
    <w:r>
      <w:rPr>
        <w:rFonts w:ascii="宋体" w:hAnsi="宋体" w:eastAsia="宋体" w:cs="宋体"/>
        <w:sz w:val="18"/>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isplayHorizontalDrawingGridEvery w:val="1"/>
  <w:displayVerticalDrawingGridEvery w:val="1"/>
  <w:noPunctuationKerning w:val="1"/>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AE2F55"/>
    <w:rsid w:val="051554AC"/>
    <w:rsid w:val="056A005E"/>
    <w:rsid w:val="07271588"/>
    <w:rsid w:val="0749768F"/>
    <w:rsid w:val="0C1937BA"/>
    <w:rsid w:val="0D2D32E3"/>
    <w:rsid w:val="0E303BB2"/>
    <w:rsid w:val="0EFD77C1"/>
    <w:rsid w:val="0F376CE6"/>
    <w:rsid w:val="11930735"/>
    <w:rsid w:val="13365499"/>
    <w:rsid w:val="1CD31577"/>
    <w:rsid w:val="1DDB32DF"/>
    <w:rsid w:val="1E390FB6"/>
    <w:rsid w:val="1F651CEC"/>
    <w:rsid w:val="1F6C5712"/>
    <w:rsid w:val="22702B26"/>
    <w:rsid w:val="22FD7A6D"/>
    <w:rsid w:val="2CB76741"/>
    <w:rsid w:val="2DFF7803"/>
    <w:rsid w:val="2F453801"/>
    <w:rsid w:val="39A72C63"/>
    <w:rsid w:val="39CB7886"/>
    <w:rsid w:val="3AD153F6"/>
    <w:rsid w:val="3B553B34"/>
    <w:rsid w:val="3BAE0255"/>
    <w:rsid w:val="3D8457BE"/>
    <w:rsid w:val="3E793E04"/>
    <w:rsid w:val="3FE54305"/>
    <w:rsid w:val="40280255"/>
    <w:rsid w:val="40CF43C9"/>
    <w:rsid w:val="42AC1005"/>
    <w:rsid w:val="441D69FB"/>
    <w:rsid w:val="555A5CF8"/>
    <w:rsid w:val="55AF6BC8"/>
    <w:rsid w:val="5A92127B"/>
    <w:rsid w:val="62F975B9"/>
    <w:rsid w:val="64D27E1F"/>
    <w:rsid w:val="687F5939"/>
    <w:rsid w:val="6BA961A6"/>
    <w:rsid w:val="6BBB646B"/>
    <w:rsid w:val="6BCB65C6"/>
    <w:rsid w:val="6BDF10AE"/>
    <w:rsid w:val="6CBA5032"/>
    <w:rsid w:val="6F167098"/>
    <w:rsid w:val="6FC0545D"/>
    <w:rsid w:val="6FF73716"/>
    <w:rsid w:val="74B6544C"/>
    <w:rsid w:val="757545F4"/>
    <w:rsid w:val="777F4A4C"/>
    <w:rsid w:val="78016B4A"/>
    <w:rsid w:val="7B6E7E27"/>
    <w:rsid w:val="7D180687"/>
    <w:rsid w:val="7F1C1F84"/>
    <w:rsid w:val="7F3430F5"/>
    <w:rsid w:val="7FD44ADF"/>
    <w:rsid w:val="7FD454D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28"/>
    <w:qFormat/>
    <w:uiPriority w:val="0"/>
    <w:pPr>
      <w:keepNext/>
      <w:keepLines/>
      <w:spacing w:before="260" w:after="260" w:line="416" w:lineRule="auto"/>
      <w:outlineLvl w:val="2"/>
    </w:pPr>
    <w:rPr>
      <w:b/>
      <w:bCs/>
      <w:sz w:val="32"/>
      <w:szCs w:val="32"/>
    </w:rPr>
  </w:style>
  <w:style w:type="paragraph" w:styleId="5">
    <w:name w:val="heading 4"/>
    <w:basedOn w:val="1"/>
    <w:next w:val="1"/>
    <w:link w:val="23"/>
    <w:qFormat/>
    <w:uiPriority w:val="0"/>
    <w:pPr>
      <w:keepNext/>
      <w:keepLines/>
      <w:spacing w:before="280" w:after="290" w:line="376" w:lineRule="auto"/>
      <w:outlineLvl w:val="3"/>
    </w:pPr>
    <w:rPr>
      <w:rFonts w:ascii="Cambria" w:hAnsi="Cambria"/>
      <w:b/>
      <w:bCs/>
      <w:sz w:val="28"/>
      <w:szCs w:val="28"/>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0"/>
    <w:pPr>
      <w:ind w:left="1260"/>
      <w:jc w:val="left"/>
    </w:pPr>
    <w:rPr>
      <w:sz w:val="20"/>
      <w:szCs w:val="20"/>
    </w:rPr>
  </w:style>
  <w:style w:type="paragraph" w:styleId="7">
    <w:name w:val="Document Map"/>
    <w:basedOn w:val="1"/>
    <w:qFormat/>
    <w:uiPriority w:val="0"/>
    <w:pPr>
      <w:shd w:val="clear" w:color="auto" w:fill="000080"/>
    </w:pPr>
  </w:style>
  <w:style w:type="paragraph" w:styleId="8">
    <w:name w:val="annotation text"/>
    <w:basedOn w:val="1"/>
    <w:semiHidden/>
    <w:unhideWhenUsed/>
    <w:qFormat/>
    <w:uiPriority w:val="0"/>
    <w:pPr>
      <w:jc w:val="left"/>
    </w:pPr>
  </w:style>
  <w:style w:type="paragraph" w:styleId="9">
    <w:name w:val="toc 5"/>
    <w:basedOn w:val="1"/>
    <w:next w:val="1"/>
    <w:qFormat/>
    <w:uiPriority w:val="0"/>
    <w:pPr>
      <w:ind w:left="840"/>
      <w:jc w:val="left"/>
    </w:pPr>
    <w:rPr>
      <w:sz w:val="20"/>
      <w:szCs w:val="20"/>
    </w:rPr>
  </w:style>
  <w:style w:type="paragraph" w:styleId="10">
    <w:name w:val="toc 3"/>
    <w:basedOn w:val="1"/>
    <w:next w:val="1"/>
    <w:qFormat/>
    <w:uiPriority w:val="0"/>
    <w:pPr>
      <w:adjustRightInd w:val="0"/>
      <w:snapToGrid w:val="0"/>
      <w:spacing w:line="360" w:lineRule="auto"/>
      <w:ind w:firstLine="400" w:firstLineChars="400"/>
      <w:jc w:val="left"/>
    </w:pPr>
    <w:rPr>
      <w:sz w:val="24"/>
      <w:szCs w:val="20"/>
    </w:rPr>
  </w:style>
  <w:style w:type="paragraph" w:styleId="11">
    <w:name w:val="toc 8"/>
    <w:basedOn w:val="1"/>
    <w:next w:val="1"/>
    <w:qFormat/>
    <w:uiPriority w:val="0"/>
    <w:pPr>
      <w:ind w:left="1470"/>
      <w:jc w:val="left"/>
    </w:pPr>
    <w:rPr>
      <w:sz w:val="20"/>
      <w:szCs w:val="20"/>
    </w:rPr>
  </w:style>
  <w:style w:type="paragraph" w:styleId="12">
    <w:name w:val="footer"/>
    <w:basedOn w:val="1"/>
    <w:link w:val="26"/>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0"/>
    <w:pPr>
      <w:adjustRightInd w:val="0"/>
      <w:snapToGrid w:val="0"/>
      <w:spacing w:line="360" w:lineRule="auto"/>
      <w:jc w:val="left"/>
    </w:pPr>
    <w:rPr>
      <w:b/>
      <w:bCs/>
      <w:sz w:val="24"/>
      <w:szCs w:val="20"/>
    </w:rPr>
  </w:style>
  <w:style w:type="paragraph" w:styleId="15">
    <w:name w:val="toc 4"/>
    <w:basedOn w:val="1"/>
    <w:next w:val="1"/>
    <w:qFormat/>
    <w:uiPriority w:val="0"/>
    <w:pPr>
      <w:ind w:left="630"/>
      <w:jc w:val="left"/>
    </w:pPr>
    <w:rPr>
      <w:sz w:val="20"/>
      <w:szCs w:val="20"/>
    </w:rPr>
  </w:style>
  <w:style w:type="paragraph" w:styleId="16">
    <w:name w:val="toc 6"/>
    <w:basedOn w:val="1"/>
    <w:next w:val="1"/>
    <w:qFormat/>
    <w:uiPriority w:val="0"/>
    <w:pPr>
      <w:ind w:left="1050"/>
      <w:jc w:val="left"/>
    </w:pPr>
    <w:rPr>
      <w:sz w:val="20"/>
      <w:szCs w:val="20"/>
    </w:rPr>
  </w:style>
  <w:style w:type="paragraph" w:styleId="17">
    <w:name w:val="toc 2"/>
    <w:basedOn w:val="1"/>
    <w:next w:val="1"/>
    <w:qFormat/>
    <w:uiPriority w:val="0"/>
    <w:pPr>
      <w:adjustRightInd w:val="0"/>
      <w:snapToGrid w:val="0"/>
      <w:spacing w:line="360" w:lineRule="auto"/>
      <w:ind w:firstLine="200" w:firstLineChars="200"/>
      <w:jc w:val="left"/>
    </w:pPr>
    <w:rPr>
      <w:iCs/>
      <w:sz w:val="24"/>
      <w:szCs w:val="20"/>
    </w:rPr>
  </w:style>
  <w:style w:type="paragraph" w:styleId="18">
    <w:name w:val="toc 9"/>
    <w:basedOn w:val="1"/>
    <w:next w:val="1"/>
    <w:qFormat/>
    <w:uiPriority w:val="0"/>
    <w:pPr>
      <w:ind w:left="1680"/>
      <w:jc w:val="left"/>
    </w:pPr>
    <w:rPr>
      <w:sz w:val="20"/>
      <w:szCs w:val="20"/>
    </w:rPr>
  </w:style>
  <w:style w:type="character" w:styleId="21">
    <w:name w:val="page number"/>
    <w:basedOn w:val="20"/>
    <w:qFormat/>
    <w:uiPriority w:val="0"/>
  </w:style>
  <w:style w:type="character" w:styleId="22">
    <w:name w:val="Hyperlink"/>
    <w:basedOn w:val="20"/>
    <w:qFormat/>
    <w:uiPriority w:val="0"/>
    <w:rPr>
      <w:color w:val="0000FF"/>
      <w:u w:val="single"/>
    </w:rPr>
  </w:style>
  <w:style w:type="character" w:customStyle="1" w:styleId="23">
    <w:name w:val="标题 4 Char"/>
    <w:basedOn w:val="20"/>
    <w:link w:val="5"/>
    <w:qFormat/>
    <w:uiPriority w:val="0"/>
    <w:rPr>
      <w:rFonts w:ascii="Cambria" w:hAnsi="Cambria"/>
      <w:b/>
      <w:bCs/>
      <w:kern w:val="2"/>
      <w:sz w:val="28"/>
      <w:szCs w:val="28"/>
    </w:rPr>
  </w:style>
  <w:style w:type="paragraph" w:styleId="24">
    <w:name w:val="No Spacing"/>
    <w:link w:val="25"/>
    <w:qFormat/>
    <w:uiPriority w:val="0"/>
    <w:pPr>
      <w:ind w:firstLine="200" w:firstLineChars="200"/>
    </w:pPr>
    <w:rPr>
      <w:rFonts w:ascii="Times New Roman" w:hAnsi="Times New Roman" w:eastAsia="仿宋_GB2312" w:cs="Times New Roman"/>
      <w:sz w:val="30"/>
      <w:szCs w:val="22"/>
      <w:lang w:val="en-US" w:eastAsia="zh-CN" w:bidi="ar-SA"/>
    </w:rPr>
  </w:style>
  <w:style w:type="character" w:customStyle="1" w:styleId="25">
    <w:name w:val="无间隔 Char"/>
    <w:link w:val="24"/>
    <w:qFormat/>
    <w:locked/>
    <w:uiPriority w:val="0"/>
    <w:rPr>
      <w:rFonts w:eastAsia="仿宋_GB2312"/>
      <w:sz w:val="30"/>
      <w:szCs w:val="22"/>
      <w:lang w:bidi="ar-SA"/>
    </w:rPr>
  </w:style>
  <w:style w:type="character" w:customStyle="1" w:styleId="26">
    <w:name w:val="页脚 Char"/>
    <w:basedOn w:val="20"/>
    <w:link w:val="12"/>
    <w:qFormat/>
    <w:uiPriority w:val="0"/>
    <w:rPr>
      <w:kern w:val="2"/>
      <w:sz w:val="18"/>
      <w:szCs w:val="18"/>
    </w:rPr>
  </w:style>
  <w:style w:type="paragraph" w:styleId="27">
    <w:name w:val="List Paragraph"/>
    <w:basedOn w:val="1"/>
    <w:qFormat/>
    <w:uiPriority w:val="0"/>
    <w:pPr>
      <w:ind w:firstLine="420" w:firstLineChars="200"/>
    </w:pPr>
  </w:style>
  <w:style w:type="character" w:customStyle="1" w:styleId="28">
    <w:name w:val="标题 3 Char"/>
    <w:basedOn w:val="20"/>
    <w:link w:val="4"/>
    <w:qFormat/>
    <w:uiPriority w:val="0"/>
    <w:rPr>
      <w:b/>
      <w:bCs/>
      <w:kern w:val="2"/>
      <w:sz w:val="32"/>
      <w:szCs w:val="32"/>
    </w:rPr>
  </w:style>
  <w:style w:type="paragraph" w:customStyle="1" w:styleId="29">
    <w:name w:val="MsoNormal"/>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chart" Target="charts/chart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24037;&#20316;&#31807;2"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sz="900" b="0"/>
              <a:t>支出决算图</a:t>
            </a:r>
            <a:endParaRPr sz="900" b="0"/>
          </a:p>
        </c:rich>
      </c:tx>
      <c:layout/>
      <c:overlay val="0"/>
      <c:spPr>
        <a:noFill/>
        <a:ln>
          <a:noFill/>
        </a:ln>
        <a:effectLst/>
      </c:spPr>
    </c:title>
    <c:autoTitleDeleted val="0"/>
    <c:plotArea>
      <c:layout/>
      <c:pieChart>
        <c:varyColors val="1"/>
        <c:ser>
          <c:idx val="0"/>
          <c:order val="0"/>
          <c:spPr>
            <a:ln>
              <a:noFill/>
            </a:ln>
          </c:spPr>
          <c:explosion val="0"/>
          <c:dPt>
            <c:idx val="0"/>
            <c:bubble3D val="0"/>
            <c:spPr>
              <a:gradFill>
                <a:gsLst>
                  <a:gs pos="96000">
                    <a:schemeClr val="bg1">
                      <a:lumMod val="50000"/>
                    </a:schemeClr>
                  </a:gs>
                  <a:gs pos="97000">
                    <a:schemeClr val="accent1"/>
                  </a:gs>
                </a:gsLst>
                <a:lin ang="5400000" scaled="0"/>
              </a:gradFill>
              <a:ln>
                <a:noFill/>
              </a:ln>
              <a:effectLst/>
            </c:spPr>
          </c:dPt>
          <c:dPt>
            <c:idx val="1"/>
            <c:bubble3D val="0"/>
            <c:spPr>
              <a:gradFill>
                <a:gsLst>
                  <a:gs pos="100000">
                    <a:schemeClr val="accent1"/>
                  </a:gs>
                  <a:gs pos="100000">
                    <a:schemeClr val="accent2"/>
                  </a:gs>
                </a:gsLst>
                <a:lin ang="5400000" scaled="0"/>
              </a:gradFill>
              <a:ln>
                <a:noFill/>
              </a:ln>
              <a:effectLst/>
            </c:spPr>
          </c:dPt>
          <c:dLbls>
            <c:dLbl>
              <c:idx val="0"/>
              <c:layout>
                <c:manualLayout>
                  <c:x val="0.145175406236182"/>
                  <c:y val="0.0388045369610278"/>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项目支出：</a:t>
                    </a:r>
                    <a:r>
                      <a:rPr lang="en-US" altLang="zh-CN"/>
                      <a:t>4.65%</a:t>
                    </a:r>
                    <a:endParaRPr lang="en-US" altLang="zh-CN"/>
                  </a:p>
                </c:rich>
              </c:tx>
              <c:dLblPos val="bestFit"/>
              <c:showLegendKey val="0"/>
              <c:showVal val="0"/>
              <c:showCatName val="0"/>
              <c:showSerName val="0"/>
              <c:showPercent val="1"/>
              <c:showBubbleSize val="0"/>
              <c:extLst>
                <c:ext xmlns:c15="http://schemas.microsoft.com/office/drawing/2012/chart" uri="{CE6537A1-D6FC-4f65-9D91-7224C49458BB}">
                  <c15:layout>
                    <c:manualLayout>
                      <c:w val="0.240657894736842"/>
                      <c:h val="0.0698969072164948"/>
                    </c:manualLayout>
                  </c15:layout>
                </c:ext>
              </c:extLst>
            </c:dLbl>
            <c:dLbl>
              <c:idx val="1"/>
              <c:layout>
                <c:manualLayout>
                  <c:x val="-0.248455706522728"/>
                  <c:y val="-0.0985983491842864"/>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基本支出：</a:t>
                    </a:r>
                    <a:r>
                      <a:rPr lang="en-US" altLang="zh-CN"/>
                      <a:t>95.35%</a:t>
                    </a:r>
                    <a:endParaRPr lang="en-US" altLang="zh-CN"/>
                  </a:p>
                </c:rich>
              </c:tx>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accent1"/>
                      </a:solidFill>
                      <a:round/>
                    </a:ln>
                    <a:effectLst/>
                  </c:spPr>
                </c15:leaderLines>
              </c:ext>
            </c:extLst>
          </c:dLbls>
          <c:cat>
            <c:strRef>
              <c:f>[工作簿2]Sheet1!$A$2:$A$3</c:f>
              <c:strCache>
                <c:ptCount val="2"/>
                <c:pt idx="0">
                  <c:v>项目支出</c:v>
                </c:pt>
                <c:pt idx="1">
                  <c:v>基本支出</c:v>
                </c:pt>
              </c:strCache>
            </c:strRef>
          </c:cat>
          <c:val>
            <c:numRef>
              <c:f>[工作簿2]Sheet1!$B$2:$B$3</c:f>
              <c:numCache>
                <c:formatCode>0.00%</c:formatCode>
                <c:ptCount val="2"/>
                <c:pt idx="0">
                  <c:v>0.0465</c:v>
                </c:pt>
                <c:pt idx="1">
                  <c:v>0.9535</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manualLayout>
          <c:xMode val="edge"/>
          <c:yMode val="edge"/>
          <c:x val="0.356776315789474"/>
          <c:y val="0.904123711340206"/>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ab0def75-c682-46ad-a858-66ee7ad1fc16}"/>
      </c:ext>
    </c:extLst>
  </c:chart>
  <c:spPr>
    <a:solidFill>
      <a:schemeClr val="bg1"/>
    </a:solidFill>
    <a:ln w="9525" cap="flat" cmpd="sng" algn="ctr">
      <a:no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lumMod val="40000"/>
              <a:lumOff val="60000"/>
            </a:schemeClr>
          </a:gs>
          <a:gs pos="90000">
            <a:schemeClr val="phClr"/>
          </a:gs>
        </a:gsLst>
        <a:lin ang="5400000" scaled="0"/>
      </a:gradFill>
      <a:ln>
        <a:gradFill>
          <a:gsLst>
            <a:gs pos="0">
              <a:schemeClr val="phClr"/>
            </a:gs>
            <a:gs pos="100000">
              <a:schemeClr val="phClr">
                <a:lumMod val="75000"/>
              </a:schemeClr>
            </a:gs>
          </a:gsLst>
          <a:lin ang="5400000" scaled="1"/>
        </a:gra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40FBB8C3-AB0F-4E54-B888-F65ACC039CAF}">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23</Pages>
  <Words>9204</Words>
  <Characters>10317</Characters>
  <Lines>1</Lines>
  <Paragraphs>1</Paragraphs>
  <TotalTime>28</TotalTime>
  <ScaleCrop>false</ScaleCrop>
  <LinksUpToDate>false</LinksUpToDate>
  <CharactersWithSpaces>10355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付猛</cp:lastModifiedBy>
  <cp:lastPrinted>2021-04-16T00:45:00Z</cp:lastPrinted>
  <dcterms:modified xsi:type="dcterms:W3CDTF">2026-08-17T09:09:33Z</dcterms:modified>
  <dc:title>××年度××部门/单位</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2A1ADF5E9B704834B208046958679DB9</vt:lpwstr>
  </property>
  <property fmtid="{D5CDD505-2E9C-101B-9397-08002B2CF9AE}" pid="3" name="KSOProductBuildVer">
    <vt:lpwstr>2052-12.1.0.28043</vt:lpwstr>
  </property>
  <property fmtid="{D5CDD505-2E9C-101B-9397-08002B2CF9AE}" pid="4" name="KSOTemplateDocerSaveRecord">
    <vt:lpwstr>eyJoZGlkIjoiZWQ0Yzg2MTg2YTJjMzdlMThmZDAyMmIxNmQyNzE1ZjEiLCJ1c2VySWQiOiIyMzgyMTE5OTIifQ==</vt:lpwstr>
  </property>
</Properties>
</file>