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color w:val="000000"/>
          <w:sz w:val="44"/>
          <w:spacing w:val="0"/>
          <w:w w:val="100"/>
          <w:rFonts w:ascii="Times New Roman" w:eastAsia="方正小标宋简体" w:hAnsi="Times New Roman"/>
          <w:caps w:val="0"/>
        </w:rPr>
        <w:snapToGrid/>
        <w:ind w:left="0" w:leftChars="0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color w:val="000000"/>
          <w:sz w:val="44"/>
          <w:spacing w:val="0"/>
          <w:w w:val="100"/>
          <w:rFonts w:ascii="Times New Roman" w:eastAsia="方正小标宋简体" w:hAnsi="Times New Roman"/>
          <w:caps w:val="0"/>
        </w:rPr>
        <w:t xml:space="preserve">内蒙古自治区边境管理行政处罚裁量基准</w:t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第一章  总</w:t>
      </w:r>
      <w:r>
        <w:rPr>
          <w:rStyle w:val="NormalCharacter"/>
          <w:szCs w:val="32"/>
          <w:kern w:val="0"/>
          <w:lang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  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则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一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为规范行使行政处罚自由裁量权，减少执法随意性，切实保障当事人的合法权益，根据《中华人民共和国行政处罚法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》《中华人民共和国治安管理处罚法》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《内蒙古自治区边境管理条例》（以下简称《条例》）等相关法律、法规、规章的规定，结合自治区边境管理行政执法实际，制定本基准。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二、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公安边境管理部门根据《条例》规定，对边境管理违法行为作出行政处罚决定的，适用本基准。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三、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边境管理违法行为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的行政处罚，由公安边境管理部门大队级以上部门决定；其中警告、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500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元以下罚款可以由公安边境派出所或者公安边境检查站决定。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四、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适用行政处罚裁量基准，应当遵循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处罚法定、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公平公正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公开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合法合理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、过罚相当、教育与处罚相结合原则。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五、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公安边境管理部门应当根据《中华人民共和国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行政处罚法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》《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公安机关办理行政案件程序规定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》等相关法律、法规、规章和规范性文件规定，给予当事人从轻、减轻、从重处罚或者不予处罚。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从轻、减轻、从重处罚和不予处罚应有证据证明，并将相关证据材料附卷。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六、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法律、法规、规章设定的处罚有一定幅度，且基准未作规定的，在幅度范围内综合考虑法定依据、违法情形、性质情节、危害程度、处罚种类、处罚幅度等因素研究确定。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七、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同一违法行为违反了不同法律规范的，在适用法律、法规、规章时应当遵循下列原则： 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（一）优先适用效力高的法律规范； 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（二）法律规范效力相同，属于特别规定的优先适用； 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（三）法律规范效力相同，时间在后的优先适用。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八、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本基准与相关法律、法规、规章和公安部的规定不一致的，按照相关法律、法规、规章和公安部的规定执行。 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九、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当事人的违法行为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涉嫌其他违法违纪的，应当及时移送有关部门处理。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方正仿宋_GBK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Times New Roman" w:eastAsia="方正仿宋_GBK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第二章  裁量基准</w:t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一、进出边境管理区，拒绝接受检查</w:t>
      </w:r>
    </w:p>
    <w:p>
      <w:pPr>
        <w:pStyle w:val="Normal"/>
        <w:jc w:val="left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【适用依据】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《条例》第三十一条第一项  违反本条例规定，有下列情形之一的，由公安边境管理部门处警告或者500元以下罚款：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（一）进出边境管理区，拒绝公安边境管理部门或者边防部队检查的;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【裁量基准】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1.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以沉默方式拒绝接受检查的，处警告或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者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元以下罚款；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2.明确拒绝接受检查或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者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以其他方式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拒绝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检查的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，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元以上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500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二、不跟群放牧造成牲畜越界</w:t>
      </w:r>
    </w:p>
    <w:p>
      <w:pPr>
        <w:pStyle w:val="Normal"/>
        <w:jc w:val="left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【适用依据】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《条例》第三十一条第三项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  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违反本条例规定，有下列情形之一的，由公安边境管理部门处警告或者500元以下罚款：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方正仿宋_GBK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（三）不跟群放牧造成牲畜越界的。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【裁量基准】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1.首次不跟群放牧造成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牲畜越界的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，危害后果轻微未引发涉外事件并及时改正的，可以不予处罚；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2.首次不跟群放牧造成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牲畜越界的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，引发涉外事件的，处警告或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者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；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3.一年内曾因不跟群放牧造成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牲畜越界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被处罚，再次发生的，处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元以上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500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三、擅自在距国界线1公里的地带鸣枪</w:t>
      </w:r>
    </w:p>
    <w:p>
      <w:pPr>
        <w:pStyle w:val="Normal"/>
        <w:jc w:val="left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【适用依据】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《条例》第三十二条第一项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  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违反本条例规定，有下列情形之一的，由公安边境管理部门处500元以上3000元以下罚款：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（一）擅自在距国界线1公里的地带鸣枪的;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【裁量基准】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1.擅自在距国界线1公里的地带鸣枪，未引发涉外事件等后果的，处500元以上1000元以下罚款；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2.擅自在距国界线1公里的地带鸣枪，引发涉外事件等后果尚不构成犯罪的，处1000元以上3000元以下罚款。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四、擅自使役、宰杀、藏匿、出卖、私分越入我国境内牲畜</w:t>
      </w:r>
    </w:p>
    <w:p>
      <w:pPr>
        <w:pStyle w:val="Normal"/>
        <w:jc w:val="left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【适用依据】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《条例》第三十二条第三项、第二款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  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违反本条例规定，有下列情形之一的，由公安边境管理部门处500元以上3000元以下罚款：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（三）擅自使役、宰杀、藏匿、出卖、私分越入我国境内牲畜的;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违反本条第（三）项的行为除按规定处罚外，并处没收违法所得。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【裁量基准】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1.擅自使役、宰杀、藏匿、出卖、私分邻国越入我国境内牲畜数量三只（头）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以下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的，处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500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元以上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1000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元以下罚款，并处没收违法所得；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方正仿宋_GBK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2.擅自使役、宰杀、藏匿、出卖、私分邻国越入我国境内牲畜数量三只（头）以上的，处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1000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元以上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3000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元以下罚款，并处没收违法所得。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第三章  附  则</w:t>
      </w:r>
    </w:p>
    <w:p>
      <w:pPr>
        <w:pStyle w:val="Normal"/>
        <w:jc w:val="center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leftChars="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一、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本基准规定的“以上”、“以下”，包括本数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但对分段连续记数中的重叠数字，“以上”不含本数。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left="0" w:firstLine="640" w:firstLineChars="200" w:leftChars="0"/>
        <w:textAlignment w:val="baseline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eastAsia="黑体" w:hAnsi="Times New Roman"/>
          <w:caps w:val="0"/>
        </w:rPr>
        <w:t xml:space="preserve">二、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本基准自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公布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之日起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30日后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 xml:space="preserve">施行。</w:t>
      </w:r>
    </w:p>
    <w:p>
      <w:pPr>
        <w:pStyle w:val="Normal"/>
        <w:jc w:val="both"/>
        <w:spacing w:before="0" w:beforeAutospacing="0" w:after="0" w:afterAutospacing="0" w:line="59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hAnsi="Times New Roman"/>
          <w:caps w:val="0"/>
        </w:rPr>
        <w:t/>
      </w:r>
    </w:p>
    <w:sectPr>
      <w:footerReference w:type="default" r:id="rId3"/>
      <w:type w:val="nextPage"/>
      <w:pgSz w:h="16838" w:w="11906" w:orient="portrait"/>
      <w:pgMar w:gutter="0" w:header="851" w:top="2098" w:bottom="1984" w:footer="992" w:left="1587" w:right="1474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方正小标宋简体"/>
    <w:charset w:val="86"/>
    <w:family w:val="script"/>
    <w:panose1 w:val="02010601030101010101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anose1 w:val="02000000000000000000"/>
    <w:pitch w:val="default"/>
    <w:sig w:usb0="00000001" w:usb1="0800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24"/>
        <w:sz w:val="18"/>
        <w:kern w:val="2"/>
        <w:lang w:val="en-US" w:eastAsia="zh-CN" w:bidi="ar-SA"/>
      </w:rPr>
      <w:pict>
        <v:shape id="_x0000_s2049" type="#_x0000_t202" style="position:absolute;width:144.0pt;height:144.0pt;v-text-anchor:top;mso-position-horizontal:outside;z-index:524288;mso-position-horizontal-relative:margin;" filled="f" stroked="f" coordsize="21600,21600">
          <v:stroke linestyle="single"/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28"/>
                    <w:sz w:val="28"/>
                    <w:kern w:val="2"/>
                    <w:lang w:val="en-US" w:eastAsia="zh-CN" w:bidi="ar-SA"/>
                    <w:rFonts w:ascii="宋体" w:eastAsia="宋体" w:hAnsi="宋体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  <w:r>
                  <w:rPr>
                    <w:rStyle w:val="NormalCharacter"/>
                    <w:szCs w:val="28"/>
                    <w:sz w:val="28"/>
                    <w:kern w:val="2"/>
                    <w:lang w:val="en-US" w:eastAsia="zh-CN" w:bidi="ar-SA"/>
                    <w:rFonts w:ascii="宋体" w:eastAsia="宋体" w:hAnsi="宋体"/>
                  </w:rPr>
                </w:r>
              </w:p>
              <w:p>
                <w:pPr>
                  <w:pStyle w:val="Normal"/>
                  <w:rPr>
                    <w:rStyle w:val="NormalCharacter"/>
                    <w:szCs w:val="24"/>
                    <w:sz w:val="21"/>
                    <w:kern w:val="2"/>
                    <w:lang w:val="en-US" w:eastAsia="zh-CN" w:bidi="ar-SA"/>
                  </w:rPr>
                  <w:jc w:val="both"/>
                  <w:textAlignment w:val="baseline"/>
                </w:pPr>
              </w:p>
            </w:txbxContent>
          </v:textbox>
        </v:shape>
      </w:pict>
    </w:r>
  </w:p>
</w:ft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basedOn w:val="NormalCharacter"/>
    <w:next w:val="UserStyle_0"/>
    <w:link w:val="Normal"/>
    <w:rPr>
      <w:color w:val="C01D28"/>
    </w:rPr>
  </w:style>
  <w:style w:type="character" w:styleId="Hyperlink">
    <w:name w:val="Hyperlink"/>
    <w:basedOn w:val="NormalCharacter"/>
    <w:next w:val="Hyperlink"/>
    <w:link w:val="Normal"/>
    <w:rPr>
      <w:color w:val="666666"/>
    </w:rPr>
  </w:style>
  <w:style w:type="paragraph" w:styleId="Header">
    <w:name w:val="Header"/>
    <w:basedOn w:val="Normal"/>
    <w:next w:val="Header"/>
    <w:link w:val="Normal"/>
    <w:pPr>
      <w:rPr>
        <w:szCs w:val="24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4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  <w:color w:val="000000"/>
        </w:rPr>
        <w:autoSpaceDE/>
        <w:autoSpaceDN/>
        <w:bidi w:val="off"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  <w:color w:val="000000"/>
        </w:rPr>
        <w:t xml:space="preserve">内蒙古自治区边境管理行政处罚裁量基准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第一章  总</w:t>
      </w:r>
      <w:r>
        <w:rPr>
          <w:rStyle w:val="NormalCharacter"/>
          <w:szCs w:val="32"/>
          <w:sz w:val="32"/>
          <w:kern w:val="0"/>
          <w:lang w:eastAsia="zh-CN"/>
          <w:rFonts w:ascii="Times New Roman" w:eastAsia="黑体" w:hAnsi="Times New Roman"/>
          <w:color w:val="000000"/>
        </w:rPr>
        <w:t xml:space="preserve">  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则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一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为规范行使行政处罚自由裁量权，减少执法随意性，切实保障当事人的合法权益，根据《中华人民共和国行政处罚法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》《中华人民共和国治安管理处罚法》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《内蒙古自治区边境管理条例》（以下简称《条例》）等相关法律、法规、规章的规定，结合自治区边境管理行政执法实际，制定本基准。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二、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公安边境管理部门根据《条例》规定，对边境管理违法行为作出行政处罚决定的，适用本基准。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三、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边境管理违法行为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的行政处罚，由公安边境管理部门大队级以上部门决定；其中警告、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元以下罚款可以由公安边境派出所或者公安边境检查站决定。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四、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适用行政处罚裁量基准，应当遵循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处罚法定、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公平公正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公开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合法合理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、过罚相当、教育与处罚相结合原则。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五、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公安边境管理部门应当根据《中华人民共和国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行政处罚法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》《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公安机关办理行政案件程序规定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》等相关法律、法规、规章和规范性文件规定，给予当事人从轻、减轻、从重处罚或者不予处罚。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从轻、减轻、从重处罚和不予处罚应有证据证明，并将相关证据材料附卷。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六、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法律、法规、规章设定的处罚有一定幅度，且基准未作规定的，在幅度范围内综合考虑法定依据、违法情形、性质情节、危害程度、处罚种类、处罚幅度等因素研究确定。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七、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同一违法行为违反了不同法律规范的，在适用法律、法规、规章时应当遵循下列原则： 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（一）优先适用效力高的法律规范； 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（二）法律规范效力相同，属于特别规定的优先适用； 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（三）法律规范效力相同，时间在后的优先适用。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八、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本基准与相关法律、法规、规章和公安部的规定不一致的，按照相关法律、法规、规章和公安部的规定执行。 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九、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当事人的违法行为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  <w:color w:val="000000"/>
        </w:rPr>
        <w:t xml:space="preserve">涉嫌其他违法违纪的，应当及时移送有关部门处理。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方正仿宋_GBK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第二章  裁量基准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一、进出边境管理区，拒绝接受检查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【适用依据】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《条例》第三十一条第一项  违反本条例规定，有下列情形之一的，由公安边境管理部门处警告或者500元以下罚款：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（一）进出边境管理区，拒绝公安边境管理部门或者边防部队检查的;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t xml:space="preserve">【裁量基准】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1.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以沉默方式拒绝接受检查的，处警告或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者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2.明确拒绝接受检查或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者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以其他方式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拒绝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检查的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，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元以上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500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二、不跟群放牧造成牲畜越界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【适用依据】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《条例》第三十一条第三项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  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违反本条例规定，有下列情形之一的，由公安边境管理部门处警告或者500元以下罚款：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方正仿宋_GBK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（三）不跟群放牧造成牲畜越界的。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t xml:space="preserve">【裁量基准】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1.首次不跟群放牧造成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牲畜越界的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，危害后果轻微未引发涉外事件并及时改正的，可以不予处罚；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2.首次不跟群放牧造成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牲畜越界的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，引发涉外事件的，处警告或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者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；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3.一年内曾因不跟群放牧造成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牲畜越界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被处罚，再次发生的，处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元以上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500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三、擅自在距国界线1公里的地带鸣枪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【适用依据】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《条例》第三十二条第一项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  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违反本条例规定，有下列情形之一的，由公安边境管理部门处500元以上3000元以下罚款：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（一）擅自在距国界线1公里的地带鸣枪的;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t xml:space="preserve">【裁量基准】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1.擅自在距国界线1公里的地带鸣枪，未引发涉外事件等后果的，处五百元以上一千元以下罚款；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2.擅自在距国界线1公里的地带鸣枪，引发涉外事件等后果尚不构成犯罪的，处一千元以上三千元以下罚款。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四、擅自使役、宰杀、藏匿、出卖、私分越入我国境内牲畜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【适用依据】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《条例》第三十二条第三项、第二款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  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违反本条例规定，有下列情形之一的，由公安边境管理部门处500元以上3000元以下罚款：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（三）擅自使役、宰杀、藏匿、出卖、私分越入我国境内牲畜的;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违反本条第（三）项的行为除按规定处罚外，并处没收违法所得。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  <w:color w:val="000000"/>
        </w:rPr>
        <w:t xml:space="preserve">【裁量基准】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1.擅自使役、宰杀、藏匿、出卖、私分邻国越入我国境内牲畜数量三只（头）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以下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的，处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500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元以上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1000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元以下罚款，并处没收违法所得；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方正仿宋_GBK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2.擅自使役、宰杀、藏匿、出卖、私分邻国越入我国境内牲畜数量三只（头）以上的，处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1000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元以上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3000</w:t>
      </w:r>
      <w:r>
        <w:rPr>
          <w:rStyle w:val="NormalCharacter"/>
          <w:szCs w:val="32"/>
          <w:sz w:val="32"/>
          <w:kern w:val="0"/>
          <w:lang w:val="en-US" w:eastAsia="zh-CN"/>
          <w:rFonts w:ascii="Times New Roman" w:eastAsia="仿宋_GB2312" w:hAnsi="Times New Roman"/>
          <w:color w:val="000000"/>
        </w:rPr>
        <w:t xml:space="preserve">元以下罚款，并处没收违法所得。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第三章  附  则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left="0"/>
        <w:spacing w:line="590" w:lineRule="exact"/>
        <w:jc w:val="center"/>
        <w:textAlignment w:val="auto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一、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本基准规定的“以上”、“以下”，包括本数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但对分段连续记数中的重叠数字，“以上”不含本数。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autoSpaceDE/>
        <w:autoSpaceDN/>
        <w:bidi w:val="off"/>
        <w:contextualSpacing/>
        <w:kinsoku/>
        <w:kinsoku/>
        <w:overflowPunct/>
        <w:topLinePunct/>
        <w:wordWrap/>
        <w:ind w:leftChars="0" w:firstLine="640" w:left="0" w:firstLineChars="200"/>
        <w:spacing w:line="59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/>
          <w:rFonts w:ascii="Times New Roman" w:eastAsia="黑体" w:hAnsi="Times New Roman"/>
          <w:color w:val="000000"/>
        </w:rPr>
        <w:t xml:space="preserve">二、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本基准自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公布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之日起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30日后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施行。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hAnsi="Times New Roman"/>
        </w:rPr>
        <w:autoSpaceDE/>
        <w:autoSpaceDN/>
        <w:bidi w:val="off"/>
        <w:kinsoku/>
        <w:kinsoku/>
        <w:overflowPunct/>
        <w:wordWrap/>
        <w:spacing w:line="590" w:lineRule="exact"/>
        <w:jc w:val="both"/>
        <w:textAlignment w:val="auto"/>
      </w:pPr>
    </w:p>
    <w:sectPr>
      <w:footerReference w:type="default" r:id="rId3"/>
      <w:vAlign w:val="top"/>
      <w:type w:val="nextPage"/>
      <w:pgSz w:h="16838" w:w="11906" w:orient="portrait"/>
      <w:pgMar w:gutter="0" w:header="851" w:top="2098" w:bottom="1984" w:footer="992" w:left="1587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