
<file path=[Content_Types].xml><?xml version="1.0" encoding="utf-8"?>
<Types xmlns="http://schemas.openxmlformats.org/package/2006/content-types">
  <Default Extension="xml" ContentType="application/xml"/>
  <Default Extension="xlsx" ContentType="application/vnd.openxmlformats-officedocument.spreadsheetml.sheet"/>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0C9406">
      <w:pPr>
        <w:spacing w:line="580" w:lineRule="exact"/>
        <w:jc w:val="center"/>
        <w:rPr>
          <w:sz w:val="24"/>
        </w:rPr>
      </w:pPr>
    </w:p>
    <w:p w14:paraId="79C91DD3">
      <w:pPr>
        <w:spacing w:line="580" w:lineRule="exact"/>
        <w:jc w:val="center"/>
        <w:rPr>
          <w:sz w:val="24"/>
        </w:rPr>
      </w:pPr>
    </w:p>
    <w:p w14:paraId="4383F72E">
      <w:pPr>
        <w:spacing w:line="580" w:lineRule="exact"/>
        <w:jc w:val="center"/>
        <w:rPr>
          <w:sz w:val="24"/>
        </w:rPr>
      </w:pPr>
    </w:p>
    <w:p w14:paraId="4A71EB2C">
      <w:pPr>
        <w:spacing w:line="580" w:lineRule="exact"/>
        <w:jc w:val="center"/>
        <w:rPr>
          <w:sz w:val="24"/>
        </w:rPr>
      </w:pPr>
    </w:p>
    <w:p w14:paraId="52C6C8EC">
      <w:pPr>
        <w:spacing w:line="580" w:lineRule="exact"/>
        <w:jc w:val="center"/>
        <w:rPr>
          <w:sz w:val="24"/>
        </w:rPr>
      </w:pPr>
    </w:p>
    <w:p w14:paraId="6D78A783">
      <w:pPr>
        <w:spacing w:line="580" w:lineRule="exact"/>
        <w:jc w:val="center"/>
        <w:rPr>
          <w:rFonts w:hint="eastAsia"/>
          <w:sz w:val="24"/>
        </w:rPr>
      </w:pPr>
    </w:p>
    <w:p w14:paraId="2A2944A5">
      <w:pPr>
        <w:spacing w:line="580" w:lineRule="exact"/>
        <w:jc w:val="center"/>
        <w:rPr>
          <w:sz w:val="24"/>
        </w:rPr>
      </w:pPr>
    </w:p>
    <w:p w14:paraId="751186CE">
      <w:pPr>
        <w:spacing w:line="760" w:lineRule="exact"/>
        <w:jc w:val="center"/>
        <w:rPr>
          <w:rFonts w:eastAsia="方正小标宋简体"/>
          <w:sz w:val="52"/>
          <w:szCs w:val="52"/>
        </w:rPr>
      </w:pPr>
      <w:r>
        <w:rPr>
          <w:rFonts w:hint="eastAsia" w:ascii="方正小标宋简体" w:eastAsia="方正小标宋简体"/>
          <w:sz w:val="52"/>
          <w:szCs w:val="52"/>
        </w:rPr>
        <w:t>2025</w:t>
      </w:r>
      <w:r>
        <w:rPr>
          <w:rFonts w:eastAsia="方正小标宋简体"/>
          <w:sz w:val="52"/>
          <w:szCs w:val="52"/>
        </w:rPr>
        <w:t>年度内蒙古</w:t>
      </w:r>
      <w:r>
        <w:rPr>
          <w:rFonts w:hint="eastAsia" w:eastAsia="方正小标宋简体"/>
          <w:sz w:val="52"/>
          <w:szCs w:val="52"/>
        </w:rPr>
        <w:t>大兴安岭森林公安局满归分局</w:t>
      </w:r>
      <w:r>
        <w:rPr>
          <w:rFonts w:eastAsia="方正小标宋简体"/>
          <w:sz w:val="52"/>
          <w:szCs w:val="52"/>
        </w:rPr>
        <w:t>决算公开</w:t>
      </w:r>
      <w:r>
        <w:rPr>
          <w:rFonts w:hint="eastAsia" w:eastAsia="方正小标宋简体"/>
          <w:sz w:val="52"/>
          <w:szCs w:val="52"/>
        </w:rPr>
        <w:t>报告</w:t>
      </w:r>
    </w:p>
    <w:p w14:paraId="73BBA80A">
      <w:pPr>
        <w:spacing w:line="760" w:lineRule="exact"/>
        <w:ind w:firstLine="1044" w:firstLineChars="200"/>
        <w:jc w:val="center"/>
        <w:rPr>
          <w:b/>
          <w:bCs/>
          <w:sz w:val="52"/>
          <w:szCs w:val="52"/>
        </w:rPr>
      </w:pPr>
    </w:p>
    <w:p w14:paraId="48A5F1E4">
      <w:pPr>
        <w:spacing w:line="760" w:lineRule="exact"/>
        <w:ind w:firstLine="1044" w:firstLineChars="200"/>
        <w:jc w:val="center"/>
        <w:rPr>
          <w:b/>
          <w:bCs/>
          <w:sz w:val="52"/>
          <w:szCs w:val="52"/>
        </w:rPr>
      </w:pPr>
    </w:p>
    <w:p w14:paraId="29A52B7D">
      <w:pPr>
        <w:spacing w:line="760" w:lineRule="exact"/>
        <w:ind w:firstLine="1044" w:firstLineChars="200"/>
        <w:jc w:val="center"/>
        <w:rPr>
          <w:b/>
          <w:bCs/>
          <w:sz w:val="52"/>
          <w:szCs w:val="52"/>
        </w:rPr>
      </w:pPr>
    </w:p>
    <w:p w14:paraId="0B7F9A47">
      <w:pPr>
        <w:spacing w:line="760" w:lineRule="exact"/>
        <w:ind w:firstLine="1044" w:firstLineChars="200"/>
        <w:jc w:val="center"/>
        <w:rPr>
          <w:b/>
          <w:bCs/>
          <w:sz w:val="52"/>
          <w:szCs w:val="52"/>
        </w:rPr>
      </w:pPr>
    </w:p>
    <w:p w14:paraId="3F69C6CB">
      <w:pPr>
        <w:spacing w:line="760" w:lineRule="exact"/>
        <w:ind w:firstLine="1044" w:firstLineChars="200"/>
        <w:jc w:val="center"/>
        <w:rPr>
          <w:b/>
          <w:bCs/>
          <w:sz w:val="52"/>
          <w:szCs w:val="52"/>
        </w:rPr>
      </w:pPr>
    </w:p>
    <w:p w14:paraId="0A32AA8B">
      <w:pPr>
        <w:spacing w:line="760" w:lineRule="exact"/>
        <w:ind w:firstLine="1044" w:firstLineChars="200"/>
        <w:jc w:val="center"/>
        <w:rPr>
          <w:b/>
          <w:bCs/>
          <w:sz w:val="52"/>
          <w:szCs w:val="52"/>
        </w:rPr>
      </w:pPr>
    </w:p>
    <w:p w14:paraId="114F5357">
      <w:pPr>
        <w:spacing w:line="760" w:lineRule="exact"/>
        <w:ind w:firstLine="1044" w:firstLineChars="200"/>
        <w:jc w:val="center"/>
        <w:rPr>
          <w:b/>
          <w:bCs/>
          <w:sz w:val="52"/>
          <w:szCs w:val="52"/>
        </w:rPr>
      </w:pPr>
    </w:p>
    <w:p w14:paraId="698E4D4F">
      <w:pPr>
        <w:spacing w:line="760" w:lineRule="exact"/>
        <w:ind w:firstLine="1044" w:firstLineChars="200"/>
        <w:jc w:val="center"/>
        <w:rPr>
          <w:b/>
          <w:bCs/>
          <w:sz w:val="52"/>
          <w:szCs w:val="52"/>
        </w:rPr>
      </w:pPr>
    </w:p>
    <w:p w14:paraId="06D7F7AD">
      <w:pPr>
        <w:spacing w:line="760" w:lineRule="exact"/>
        <w:ind w:firstLine="640" w:firstLineChars="200"/>
        <w:jc w:val="left"/>
        <w:rPr>
          <w:rFonts w:hint="eastAsia"/>
          <w:sz w:val="32"/>
          <w:szCs w:val="32"/>
        </w:rPr>
      </w:pPr>
    </w:p>
    <w:p w14:paraId="5CEBA70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eastAsia="方正小标宋简体"/>
          <w:kern w:val="0"/>
          <w:sz w:val="44"/>
          <w:szCs w:val="44"/>
        </w:rPr>
      </w:pPr>
      <w:bookmarkStart w:id="0" w:name="a000"/>
      <w:r>
        <w:rPr>
          <w:rFonts w:eastAsia="方正小标宋简体"/>
          <w:kern w:val="0"/>
          <w:sz w:val="44"/>
          <w:szCs w:val="44"/>
        </w:rPr>
        <w:t>目</w:t>
      </w:r>
      <w:r>
        <w:rPr>
          <w:rFonts w:hint="eastAsia" w:ascii="方正小标宋简体" w:eastAsia="方正小标宋简体"/>
          <w:kern w:val="0"/>
          <w:sz w:val="44"/>
          <w:szCs w:val="44"/>
        </w:rPr>
        <w:t xml:space="preserve"> </w:t>
      </w:r>
      <w:r>
        <w:rPr>
          <w:rFonts w:eastAsia="方正小标宋简体"/>
          <w:kern w:val="0"/>
          <w:sz w:val="44"/>
          <w:szCs w:val="44"/>
        </w:rPr>
        <w:t>录</w:t>
      </w:r>
    </w:p>
    <w:p w14:paraId="4B5951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rPr>
        <w:t>第一部分 单位概况</w:t>
      </w:r>
    </w:p>
    <w:p w14:paraId="4729BC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一、主要职能、职责</w:t>
      </w:r>
    </w:p>
    <w:p w14:paraId="5BC58E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二、单位机构设置及决算单位构成情况</w:t>
      </w:r>
    </w:p>
    <w:p w14:paraId="00CED77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三、2025年度单位主要工作完成情况</w:t>
      </w:r>
    </w:p>
    <w:p w14:paraId="53098C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rPr>
        <w:t>第二部分 单位决算情况说明</w:t>
      </w:r>
    </w:p>
    <w:p w14:paraId="1E94547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一、收入支出决算总体情况说明</w:t>
      </w:r>
    </w:p>
    <w:p w14:paraId="132A67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二、收入决算情况说明</w:t>
      </w:r>
    </w:p>
    <w:p w14:paraId="271D38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三、支出决算情况说明</w:t>
      </w:r>
    </w:p>
    <w:p w14:paraId="3C4D91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四、财政拨款收入支出决算总体情况说明</w:t>
      </w:r>
    </w:p>
    <w:p w14:paraId="1861C1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五、一般公共预算财政拨款支出决算情况说明</w:t>
      </w:r>
    </w:p>
    <w:p w14:paraId="0E301D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六、一般公共预算财政拨款基本支出决算情况说明</w:t>
      </w:r>
    </w:p>
    <w:p w14:paraId="0F7758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七、一般公共预算财政拨款项目支出决算情况说明</w:t>
      </w:r>
    </w:p>
    <w:p w14:paraId="5AC5EA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八、财政拨款“三公”经费支出决算情况说明</w:t>
      </w:r>
    </w:p>
    <w:p w14:paraId="0A567B3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九、政府性基金预算财政拨款支出决算情况说明</w:t>
      </w:r>
    </w:p>
    <w:p w14:paraId="60B0F7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十、国有资本经营预算财政拨款支出决算情况说明</w:t>
      </w:r>
    </w:p>
    <w:p w14:paraId="305662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十一、机关运行经费（公用经费）支出决算情况说明</w:t>
      </w:r>
    </w:p>
    <w:p w14:paraId="2B59B6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十二、政府采购支出决算情况说明</w:t>
      </w:r>
    </w:p>
    <w:p w14:paraId="29FAC26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十三、国有资产占用情况说明</w:t>
      </w:r>
    </w:p>
    <w:p w14:paraId="669DD1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十四、预算绩效情况说明</w:t>
      </w:r>
    </w:p>
    <w:p w14:paraId="533D423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rPr>
        <w:t>第三部分 名词解释</w:t>
      </w:r>
    </w:p>
    <w:p w14:paraId="220A0D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rPr>
        <w:t>第四部分 决算公开联系方式及信息反馈渠道</w:t>
      </w:r>
    </w:p>
    <w:p w14:paraId="683B38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kern w:val="0"/>
          <w:sz w:val="32"/>
          <w:szCs w:val="32"/>
        </w:rPr>
      </w:pPr>
      <w:r>
        <w:rPr>
          <w:rFonts w:hint="eastAsia" w:ascii="黑体" w:hAnsi="黑体" w:eastAsia="黑体" w:cs="黑体"/>
          <w:kern w:val="0"/>
          <w:sz w:val="32"/>
          <w:szCs w:val="32"/>
        </w:rPr>
        <w:t>第五部分 单位决算表</w:t>
      </w:r>
    </w:p>
    <w:p w14:paraId="3552C3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一、收入支出决算总表</w:t>
      </w:r>
    </w:p>
    <w:p w14:paraId="748062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二、收入决算表</w:t>
      </w:r>
    </w:p>
    <w:p w14:paraId="5E2AAE1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三、支出决算表</w:t>
      </w:r>
    </w:p>
    <w:p w14:paraId="5938C6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四、财政拨款收入支出决算总表</w:t>
      </w:r>
    </w:p>
    <w:p w14:paraId="3A2E70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五、一般公共预算财政拨款支出决算表</w:t>
      </w:r>
    </w:p>
    <w:p w14:paraId="6904437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六、一般公共预算财政拨款基本支出决算明细表</w:t>
      </w:r>
    </w:p>
    <w:p w14:paraId="51EFFD9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七、一般公共预算财政拨款项目支出决算明细表</w:t>
      </w:r>
    </w:p>
    <w:p w14:paraId="2E4B8A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八、政府性基金预算财政拨款收入支出决算表</w:t>
      </w:r>
    </w:p>
    <w:p w14:paraId="38D08A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九、国有资本经营预算财政拨款</w:t>
      </w:r>
      <w:r>
        <w:rPr>
          <w:rFonts w:hint="eastAsia" w:ascii="仿宋_GB2312" w:hAnsi="仿宋_GB2312" w:eastAsia="仿宋_GB2312" w:cs="仿宋_GB2312"/>
          <w:kern w:val="0"/>
          <w:sz w:val="32"/>
          <w:szCs w:val="32"/>
          <w:lang w:val="en-US" w:eastAsia="zh-CN"/>
        </w:rPr>
        <w:t>收入</w:t>
      </w:r>
      <w:r>
        <w:rPr>
          <w:rFonts w:hint="eastAsia" w:ascii="仿宋_GB2312" w:hAnsi="仿宋_GB2312" w:eastAsia="仿宋_GB2312" w:cs="仿宋_GB2312"/>
          <w:kern w:val="0"/>
          <w:sz w:val="32"/>
          <w:szCs w:val="32"/>
        </w:rPr>
        <w:t>支出决算表</w:t>
      </w:r>
    </w:p>
    <w:p w14:paraId="03B60FC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十、财政拨款“三公”经费支出决算表</w:t>
      </w:r>
    </w:p>
    <w:p w14:paraId="5B75BD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十一、机关运行经费支出、国有资产占用情况及政府采购支出信息表</w:t>
      </w:r>
    </w:p>
    <w:p w14:paraId="62922935">
      <w:pPr>
        <w:spacing w:line="760" w:lineRule="exact"/>
        <w:rPr>
          <w:rFonts w:hint="eastAsia" w:ascii="仿宋_GB2312" w:hAnsi="仿宋_GB2312" w:eastAsia="仿宋_GB2312" w:cs="仿宋_GB2312"/>
          <w:kern w:val="0"/>
          <w:sz w:val="32"/>
          <w:szCs w:val="32"/>
        </w:rPr>
      </w:pPr>
    </w:p>
    <w:p w14:paraId="0DBA79A3">
      <w:pPr>
        <w:numPr>
          <w:ilvl w:val="0"/>
          <w:numId w:val="1"/>
        </w:numPr>
        <w:spacing w:line="600" w:lineRule="exact"/>
        <w:ind w:firstLine="880" w:firstLineChars="200"/>
        <w:jc w:val="center"/>
        <w:rPr>
          <w:rFonts w:eastAsia="方正小标宋简体"/>
          <w:color w:val="000000"/>
          <w:kern w:val="0"/>
          <w:sz w:val="44"/>
          <w:szCs w:val="44"/>
        </w:rPr>
      </w:pPr>
      <w:r>
        <w:rPr>
          <w:rFonts w:eastAsia="方正小标宋简体"/>
          <w:color w:val="000000"/>
          <w:kern w:val="0"/>
          <w:sz w:val="44"/>
          <w:szCs w:val="44"/>
        </w:rPr>
        <w:t>单位概况</w:t>
      </w:r>
    </w:p>
    <w:p w14:paraId="4B278348">
      <w:pPr>
        <w:numPr>
          <w:ilvl w:val="0"/>
          <w:numId w:val="0"/>
        </w:numPr>
        <w:spacing w:line="600" w:lineRule="exact"/>
        <w:jc w:val="both"/>
        <w:rPr>
          <w:rFonts w:eastAsia="方正小标宋简体"/>
          <w:color w:val="000000"/>
          <w:kern w:val="0"/>
          <w:sz w:val="44"/>
          <w:szCs w:val="44"/>
        </w:rPr>
      </w:pPr>
    </w:p>
    <w:p w14:paraId="39B0FB3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kern w:val="0"/>
          <w:sz w:val="32"/>
          <w:szCs w:val="32"/>
        </w:rPr>
      </w:pPr>
      <w:r>
        <w:rPr>
          <w:rFonts w:hint="eastAsia" w:ascii="黑体" w:hAnsi="黑体" w:eastAsia="黑体" w:cs="黑体"/>
          <w:kern w:val="0"/>
          <w:sz w:val="32"/>
          <w:szCs w:val="32"/>
        </w:rPr>
        <w:t>一、主要职能、职责</w:t>
      </w:r>
    </w:p>
    <w:p w14:paraId="60047F0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eastAsia="仿宋_GB2312"/>
          <w:kern w:val="0"/>
          <w:sz w:val="32"/>
          <w:szCs w:val="32"/>
        </w:rPr>
      </w:pPr>
      <w:r>
        <w:rPr>
          <w:rFonts w:hint="eastAsia" w:eastAsia="仿宋_GB2312"/>
          <w:kern w:val="0"/>
          <w:sz w:val="32"/>
          <w:szCs w:val="32"/>
        </w:rPr>
        <w:t>内蒙古大兴安岭森林公安局满归分局是内蒙古大兴安岭森林公安局下属的基层森林公安机关。贯彻执行国家有关公安工作的方针、政策，保护本辖区森林资源和野生动植物资源，承担着维护辖区政治稳定和社会治安秩序、森林资源安全的重任。</w:t>
      </w:r>
    </w:p>
    <w:p w14:paraId="4D343E3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kern w:val="0"/>
          <w:sz w:val="32"/>
          <w:szCs w:val="32"/>
        </w:rPr>
      </w:pPr>
      <w:r>
        <w:rPr>
          <w:rFonts w:hint="eastAsia" w:ascii="黑体" w:hAnsi="黑体" w:eastAsia="黑体" w:cs="黑体"/>
          <w:kern w:val="0"/>
          <w:sz w:val="32"/>
          <w:szCs w:val="32"/>
        </w:rPr>
        <w:t>二、单位机构设置及决算单位构成情况</w:t>
      </w:r>
    </w:p>
    <w:p w14:paraId="089DBED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1.根据内蒙古大兴安岭森林公安局满归分局职责分工，本单位内设机构信息因涉及敏感内容，未在报告中体现。本单位无</w:t>
      </w:r>
      <w:r>
        <w:rPr>
          <w:rFonts w:hint="eastAsia" w:ascii="仿宋_GB2312" w:hAnsi="仿宋_GB2312" w:eastAsia="仿宋_GB2312" w:cs="仿宋_GB2312"/>
          <w:kern w:val="0"/>
          <w:sz w:val="32"/>
          <w:szCs w:val="32"/>
          <w:lang w:val="en-US" w:eastAsia="zh-CN"/>
        </w:rPr>
        <w:t>所</w:t>
      </w:r>
      <w:r>
        <w:rPr>
          <w:rFonts w:hint="eastAsia" w:ascii="仿宋_GB2312" w:hAnsi="仿宋_GB2312" w:eastAsia="仿宋_GB2312" w:cs="仿宋_GB2312"/>
          <w:kern w:val="0"/>
          <w:sz w:val="32"/>
          <w:szCs w:val="32"/>
        </w:rPr>
        <w:t>属单位。</w:t>
      </w:r>
    </w:p>
    <w:p w14:paraId="3089B08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2.从决算单位构成看，纳入内蒙古大兴安岭森林公安局满归分局2025年单位决算编制范围的决算单位共计1家，为财政拨款的行政单位。详细情况见表：</w:t>
      </w:r>
    </w:p>
    <w:p w14:paraId="61FCA5C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p>
    <w:tbl>
      <w:tblPr>
        <w:tblStyle w:val="21"/>
        <w:tblW w:w="4814" w:type="pct"/>
        <w:jc w:val="center"/>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autofit"/>
        <w:tblCellMar>
          <w:top w:w="15" w:type="dxa"/>
          <w:left w:w="15" w:type="dxa"/>
          <w:bottom w:w="15" w:type="dxa"/>
          <w:right w:w="15" w:type="dxa"/>
        </w:tblCellMar>
      </w:tblPr>
      <w:tblGrid>
        <w:gridCol w:w="708"/>
        <w:gridCol w:w="5386"/>
        <w:gridCol w:w="2463"/>
      </w:tblGrid>
      <w:tr w14:paraId="0B768406">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rHeight w:val="526" w:hRule="atLeast"/>
          <w:tblHeader/>
          <w:jc w:val="center"/>
        </w:trPr>
        <w:tc>
          <w:tcPr>
            <w:tcW w:w="414" w:type="pct"/>
            <w:tcBorders>
              <w:bottom w:val="inset" w:color="808080" w:sz="6" w:space="0"/>
              <w:right w:val="inset" w:color="808080" w:sz="6" w:space="0"/>
            </w:tcBorders>
            <w:tcMar>
              <w:top w:w="22" w:type="dxa"/>
              <w:left w:w="22" w:type="dxa"/>
              <w:bottom w:w="22" w:type="dxa"/>
              <w:right w:w="22" w:type="dxa"/>
            </w:tcMar>
            <w:vAlign w:val="center"/>
          </w:tcPr>
          <w:p w14:paraId="020382E9">
            <w:pPr>
              <w:spacing w:line="760" w:lineRule="exact"/>
              <w:jc w:val="both"/>
              <w:rPr>
                <w:rFonts w:eastAsia="黑体"/>
                <w:color w:val="000000"/>
                <w:kern w:val="0"/>
                <w:sz w:val="32"/>
                <w:szCs w:val="32"/>
              </w:rPr>
            </w:pPr>
            <w:r>
              <w:rPr>
                <w:rFonts w:eastAsia="黑体"/>
                <w:color w:val="000000"/>
                <w:kern w:val="0"/>
                <w:sz w:val="32"/>
                <w:szCs w:val="32"/>
              </w:rPr>
              <w:t>序号</w:t>
            </w:r>
          </w:p>
        </w:tc>
        <w:tc>
          <w:tcPr>
            <w:tcW w:w="3147" w:type="pct"/>
            <w:tcBorders>
              <w:left w:val="inset" w:color="808080" w:sz="6" w:space="0"/>
              <w:bottom w:val="inset" w:color="808080" w:sz="6" w:space="0"/>
              <w:right w:val="inset" w:color="808080" w:sz="6" w:space="0"/>
            </w:tcBorders>
            <w:tcMar>
              <w:top w:w="22" w:type="dxa"/>
              <w:left w:w="22" w:type="dxa"/>
              <w:bottom w:w="22" w:type="dxa"/>
              <w:right w:w="22" w:type="dxa"/>
            </w:tcMar>
            <w:vAlign w:val="center"/>
          </w:tcPr>
          <w:p w14:paraId="132D5863">
            <w:pPr>
              <w:spacing w:line="760" w:lineRule="exact"/>
              <w:jc w:val="center"/>
              <w:rPr>
                <w:rFonts w:eastAsia="黑体"/>
                <w:color w:val="000000"/>
                <w:kern w:val="0"/>
                <w:sz w:val="32"/>
                <w:szCs w:val="32"/>
              </w:rPr>
            </w:pPr>
            <w:r>
              <w:rPr>
                <w:rFonts w:eastAsia="黑体"/>
                <w:color w:val="000000"/>
                <w:kern w:val="0"/>
                <w:sz w:val="32"/>
                <w:szCs w:val="32"/>
              </w:rPr>
              <w:t>单位名称</w:t>
            </w:r>
          </w:p>
        </w:tc>
        <w:tc>
          <w:tcPr>
            <w:tcW w:w="1439" w:type="pct"/>
            <w:tcBorders>
              <w:left w:val="inset" w:color="808080" w:sz="6" w:space="0"/>
              <w:bottom w:val="inset" w:color="808080" w:sz="6" w:space="0"/>
            </w:tcBorders>
            <w:tcMar>
              <w:top w:w="22" w:type="dxa"/>
              <w:left w:w="22" w:type="dxa"/>
              <w:bottom w:w="22" w:type="dxa"/>
              <w:right w:w="22" w:type="dxa"/>
            </w:tcMar>
            <w:vAlign w:val="center"/>
          </w:tcPr>
          <w:p w14:paraId="6F6F248E">
            <w:pPr>
              <w:spacing w:line="760" w:lineRule="exact"/>
              <w:jc w:val="center"/>
              <w:rPr>
                <w:rFonts w:eastAsia="黑体"/>
                <w:color w:val="000000"/>
                <w:kern w:val="0"/>
                <w:sz w:val="32"/>
                <w:szCs w:val="32"/>
              </w:rPr>
            </w:pPr>
            <w:r>
              <w:rPr>
                <w:rFonts w:eastAsia="黑体"/>
                <w:color w:val="000000"/>
                <w:kern w:val="0"/>
                <w:sz w:val="32"/>
                <w:szCs w:val="32"/>
              </w:rPr>
              <w:t>单位性质</w:t>
            </w:r>
          </w:p>
        </w:tc>
      </w:tr>
      <w:tr w14:paraId="20D40936">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rHeight w:val="625" w:hRule="atLeast"/>
          <w:jc w:val="center"/>
        </w:trPr>
        <w:tc>
          <w:tcPr>
            <w:tcW w:w="414" w:type="pct"/>
            <w:tcBorders>
              <w:top w:val="inset" w:color="808080" w:sz="6" w:space="0"/>
              <w:bottom w:val="inset" w:color="808080" w:sz="6" w:space="0"/>
              <w:right w:val="inset" w:color="808080" w:sz="6" w:space="0"/>
            </w:tcBorders>
            <w:tcMar>
              <w:top w:w="22" w:type="dxa"/>
              <w:left w:w="22" w:type="dxa"/>
              <w:bottom w:w="22" w:type="dxa"/>
              <w:right w:w="22" w:type="dxa"/>
            </w:tcMar>
            <w:vAlign w:val="center"/>
          </w:tcPr>
          <w:p w14:paraId="33E49BF8">
            <w:pPr>
              <w:spacing w:line="760" w:lineRule="exact"/>
              <w:jc w:val="center"/>
              <w:rPr>
                <w:rFonts w:eastAsia="CESI仿宋-GB2312"/>
                <w:color w:val="000000"/>
                <w:kern w:val="0"/>
                <w:sz w:val="32"/>
                <w:szCs w:val="32"/>
              </w:rPr>
            </w:pPr>
            <w:r>
              <w:rPr>
                <w:rFonts w:eastAsia="CESI仿宋-GB2312"/>
                <w:color w:val="000000"/>
                <w:kern w:val="0"/>
                <w:sz w:val="32"/>
                <w:szCs w:val="32"/>
              </w:rPr>
              <w:t>1</w:t>
            </w:r>
          </w:p>
        </w:tc>
        <w:tc>
          <w:tcPr>
            <w:tcW w:w="3147" w:type="pct"/>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94A6FA0">
            <w:pPr>
              <w:spacing w:line="760" w:lineRule="exact"/>
              <w:jc w:val="center"/>
              <w:rPr>
                <w:rFonts w:eastAsia="CESI仿宋-GB2312"/>
                <w:color w:val="000000"/>
                <w:kern w:val="0"/>
                <w:sz w:val="32"/>
                <w:szCs w:val="32"/>
              </w:rPr>
            </w:pPr>
            <w:r>
              <w:rPr>
                <w:rFonts w:hint="eastAsia" w:eastAsia="CESI仿宋-GB2312"/>
                <w:color w:val="000000"/>
                <w:kern w:val="0"/>
                <w:sz w:val="32"/>
                <w:szCs w:val="32"/>
              </w:rPr>
              <w:t>内蒙古大兴安岭森林公安局满归分局</w:t>
            </w:r>
          </w:p>
        </w:tc>
        <w:tc>
          <w:tcPr>
            <w:tcW w:w="1439" w:type="pct"/>
            <w:tcBorders>
              <w:top w:val="inset" w:color="808080" w:sz="6" w:space="0"/>
              <w:left w:val="inset" w:color="808080" w:sz="6" w:space="0"/>
              <w:bottom w:val="inset" w:color="808080" w:sz="6" w:space="0"/>
            </w:tcBorders>
            <w:tcMar>
              <w:top w:w="22" w:type="dxa"/>
              <w:left w:w="22" w:type="dxa"/>
              <w:bottom w:w="22" w:type="dxa"/>
              <w:right w:w="22" w:type="dxa"/>
            </w:tcMar>
            <w:vAlign w:val="center"/>
          </w:tcPr>
          <w:p w14:paraId="5D5A87F3">
            <w:pPr>
              <w:spacing w:line="760" w:lineRule="exact"/>
              <w:jc w:val="center"/>
              <w:rPr>
                <w:rFonts w:eastAsia="CESI仿宋-GB2312"/>
                <w:color w:val="000000"/>
                <w:kern w:val="0"/>
                <w:sz w:val="32"/>
                <w:szCs w:val="32"/>
              </w:rPr>
            </w:pPr>
            <w:r>
              <w:rPr>
                <w:rFonts w:eastAsia="CESI仿宋-GB2312"/>
                <w:color w:val="000000"/>
                <w:kern w:val="0"/>
                <w:sz w:val="32"/>
                <w:szCs w:val="32"/>
              </w:rPr>
              <w:t>行政单位</w:t>
            </w:r>
          </w:p>
        </w:tc>
      </w:tr>
    </w:tbl>
    <w:p w14:paraId="240C062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kern w:val="0"/>
          <w:sz w:val="32"/>
          <w:szCs w:val="32"/>
        </w:rPr>
      </w:pPr>
      <w:r>
        <w:rPr>
          <w:rFonts w:hint="eastAsia" w:ascii="黑体" w:hAnsi="黑体" w:eastAsia="黑体" w:cs="黑体"/>
          <w:kern w:val="0"/>
          <w:sz w:val="32"/>
          <w:szCs w:val="32"/>
        </w:rPr>
        <w:t>三、</w:t>
      </w:r>
      <w:r>
        <w:rPr>
          <w:rFonts w:eastAsia="CESI黑体-GB2312"/>
          <w:kern w:val="0"/>
          <w:sz w:val="32"/>
          <w:szCs w:val="32"/>
        </w:rPr>
        <w:t>202</w:t>
      </w:r>
      <w:r>
        <w:rPr>
          <w:rFonts w:hint="eastAsia" w:eastAsia="CESI黑体-GB2312"/>
          <w:kern w:val="0"/>
          <w:sz w:val="32"/>
          <w:szCs w:val="32"/>
        </w:rPr>
        <w:t>5</w:t>
      </w:r>
      <w:r>
        <w:rPr>
          <w:rFonts w:hint="eastAsia" w:ascii="黑体" w:hAnsi="黑体" w:eastAsia="黑体" w:cs="黑体"/>
          <w:kern w:val="0"/>
          <w:sz w:val="32"/>
          <w:szCs w:val="32"/>
        </w:rPr>
        <w:t>年度单位主要工作完成情况</w:t>
      </w:r>
    </w:p>
    <w:p w14:paraId="72ADF75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2025年内蒙古大兴安岭森林公安局满归分局坚持以执行预算为中心，节约费用为重点，抓好资金管理工作。严格按照全区财政决算工作会议编制要求，用好资金管好资金，在生态安全保卫、森林资源及野生动植物资源保护、执法规范化建设等方面得到了全面的提升，人民群众的满意度有效提高。</w:t>
      </w:r>
    </w:p>
    <w:p w14:paraId="089426F5">
      <w:pPr>
        <w:spacing w:line="600" w:lineRule="exact"/>
        <w:jc w:val="both"/>
        <w:rPr>
          <w:rFonts w:hint="eastAsia" w:ascii="仿宋_GB2312" w:hAnsi="仿宋_GB2312" w:eastAsia="仿宋_GB2312" w:cs="仿宋_GB2312"/>
          <w:kern w:val="0"/>
          <w:sz w:val="32"/>
          <w:szCs w:val="32"/>
        </w:rPr>
      </w:pPr>
    </w:p>
    <w:p w14:paraId="25339EEC">
      <w:pPr>
        <w:pStyle w:val="3"/>
        <w:keepNext w:val="0"/>
        <w:keepLines w:val="0"/>
        <w:numPr>
          <w:ilvl w:val="0"/>
          <w:numId w:val="2"/>
        </w:numPr>
        <w:spacing w:before="0" w:after="0" w:line="600" w:lineRule="exact"/>
        <w:ind w:firstLine="880" w:firstLineChars="200"/>
        <w:jc w:val="center"/>
        <w:rPr>
          <w:rFonts w:ascii="Times New Roman" w:hAnsi="Times New Roman" w:eastAsia="方正小标宋简体"/>
          <w:b w:val="0"/>
          <w:bCs w:val="0"/>
          <w:kern w:val="0"/>
          <w:sz w:val="44"/>
          <w:szCs w:val="44"/>
        </w:rPr>
      </w:pPr>
      <w:r>
        <w:rPr>
          <w:rFonts w:ascii="Times New Roman" w:hAnsi="Times New Roman" w:eastAsia="方正小标宋简体"/>
          <w:b w:val="0"/>
          <w:bCs w:val="0"/>
          <w:kern w:val="0"/>
          <w:sz w:val="44"/>
          <w:szCs w:val="44"/>
        </w:rPr>
        <w:t>单位决算情况说明</w:t>
      </w:r>
    </w:p>
    <w:p w14:paraId="38ABAD97">
      <w:pPr>
        <w:numPr>
          <w:ilvl w:val="0"/>
          <w:numId w:val="0"/>
        </w:numPr>
        <w:jc w:val="both"/>
      </w:pPr>
    </w:p>
    <w:p w14:paraId="6127BF5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kern w:val="0"/>
          <w:sz w:val="32"/>
          <w:szCs w:val="32"/>
        </w:rPr>
      </w:pPr>
      <w:r>
        <w:rPr>
          <w:rFonts w:hint="eastAsia" w:ascii="黑体" w:hAnsi="黑体" w:eastAsia="黑体" w:cs="黑体"/>
          <w:kern w:val="0"/>
          <w:sz w:val="32"/>
          <w:szCs w:val="32"/>
        </w:rPr>
        <w:t>一、收入支出决算总体情况说明</w:t>
      </w:r>
    </w:p>
    <w:p w14:paraId="4E8B479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内蒙古大兴安岭森林公安局满归分局2025年度收入、支出决算总计均为</w:t>
      </w:r>
      <w:r>
        <w:rPr>
          <w:rFonts w:hint="eastAsia" w:eastAsia="仿宋_GB2312"/>
          <w:kern w:val="0"/>
          <w:sz w:val="32"/>
          <w:szCs w:val="32"/>
        </w:rPr>
        <w:t>1,742.99</w:t>
      </w:r>
      <w:r>
        <w:rPr>
          <w:rFonts w:hint="eastAsia" w:ascii="仿宋_GB2312" w:hAnsi="仿宋_GB2312" w:eastAsia="仿宋_GB2312" w:cs="仿宋_GB2312"/>
          <w:kern w:val="0"/>
          <w:sz w:val="32"/>
          <w:szCs w:val="32"/>
        </w:rPr>
        <w:t>万元。与年初预算相比，收、支总计各增加</w:t>
      </w:r>
      <w:r>
        <w:rPr>
          <w:rFonts w:hint="eastAsia" w:eastAsia="仿宋_GB2312"/>
          <w:kern w:val="0"/>
          <w:sz w:val="32"/>
          <w:szCs w:val="32"/>
        </w:rPr>
        <w:t>64.64</w:t>
      </w:r>
      <w:r>
        <w:rPr>
          <w:rFonts w:hint="eastAsia" w:ascii="仿宋_GB2312" w:hAnsi="仿宋_GB2312" w:eastAsia="仿宋_GB2312" w:cs="仿宋_GB2312"/>
          <w:kern w:val="0"/>
          <w:sz w:val="32"/>
          <w:szCs w:val="32"/>
        </w:rPr>
        <w:t>万元，增长3.85%，变动原因：新招录人员增加及按照政策调整人员工资、年终追加人员经费；与上年决算相比，收、支总计各增加</w:t>
      </w:r>
      <w:r>
        <w:rPr>
          <w:rFonts w:hint="eastAsia" w:eastAsia="仿宋_GB2312"/>
          <w:kern w:val="0"/>
          <w:sz w:val="32"/>
          <w:szCs w:val="32"/>
        </w:rPr>
        <w:t>71.84</w:t>
      </w:r>
      <w:r>
        <w:rPr>
          <w:rFonts w:hint="eastAsia" w:ascii="仿宋_GB2312" w:hAnsi="仿宋_GB2312" w:eastAsia="仿宋_GB2312" w:cs="仿宋_GB2312"/>
          <w:kern w:val="0"/>
          <w:sz w:val="32"/>
          <w:szCs w:val="32"/>
        </w:rPr>
        <w:t>万元，增长4.30%。其中：</w:t>
      </w:r>
    </w:p>
    <w:p w14:paraId="0BC0A743">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（一）收入决算总计</w:t>
      </w:r>
      <w:r>
        <w:rPr>
          <w:rFonts w:hint="eastAsia" w:eastAsia="楷体_GB2312"/>
          <w:b/>
          <w:bCs/>
          <w:kern w:val="0"/>
          <w:sz w:val="32"/>
          <w:szCs w:val="32"/>
        </w:rPr>
        <w:t>1,742.99</w:t>
      </w:r>
      <w:r>
        <w:rPr>
          <w:rFonts w:hint="eastAsia" w:ascii="楷体_GB2312" w:hAnsi="楷体_GB2312" w:eastAsia="楷体_GB2312" w:cs="楷体_GB2312"/>
          <w:b/>
          <w:bCs/>
          <w:kern w:val="0"/>
          <w:sz w:val="32"/>
          <w:szCs w:val="32"/>
        </w:rPr>
        <w:t>万元。包括：</w:t>
      </w:r>
    </w:p>
    <w:p w14:paraId="4DB59C5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1.本年收入决算合计</w:t>
      </w:r>
      <w:r>
        <w:rPr>
          <w:rFonts w:hint="eastAsia" w:eastAsia="仿宋_GB2312"/>
          <w:kern w:val="0"/>
          <w:sz w:val="32"/>
          <w:szCs w:val="32"/>
        </w:rPr>
        <w:t>1,741.07</w:t>
      </w:r>
      <w:r>
        <w:rPr>
          <w:rFonts w:hint="eastAsia" w:ascii="仿宋_GB2312" w:hAnsi="仿宋_GB2312" w:eastAsia="仿宋_GB2312" w:cs="仿宋_GB2312"/>
          <w:kern w:val="0"/>
          <w:sz w:val="32"/>
          <w:szCs w:val="32"/>
        </w:rPr>
        <w:t>万元。与上年决算相比，增加</w:t>
      </w:r>
      <w:r>
        <w:rPr>
          <w:rFonts w:hint="eastAsia" w:eastAsia="仿宋_GB2312"/>
          <w:kern w:val="0"/>
          <w:sz w:val="32"/>
          <w:szCs w:val="32"/>
        </w:rPr>
        <w:t>71.84</w:t>
      </w:r>
      <w:r>
        <w:rPr>
          <w:rFonts w:hint="eastAsia" w:ascii="仿宋_GB2312" w:hAnsi="仿宋_GB2312" w:eastAsia="仿宋_GB2312" w:cs="仿宋_GB2312"/>
          <w:kern w:val="0"/>
          <w:sz w:val="32"/>
          <w:szCs w:val="32"/>
        </w:rPr>
        <w:t>万元，增长4.30%，变动原因：新招录人员增多，费用相对增加。</w:t>
      </w:r>
    </w:p>
    <w:p w14:paraId="57D2B0E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2.使用非财政拨款结余（含专用结余）</w:t>
      </w:r>
      <w:r>
        <w:rPr>
          <w:rFonts w:hint="eastAsia" w:eastAsia="仿宋_GB2312"/>
          <w:kern w:val="0"/>
          <w:sz w:val="32"/>
          <w:szCs w:val="32"/>
        </w:rPr>
        <w:t>0.00</w:t>
      </w:r>
      <w:r>
        <w:rPr>
          <w:rFonts w:hint="eastAsia" w:ascii="仿宋_GB2312" w:hAnsi="仿宋_GB2312" w:eastAsia="仿宋_GB2312" w:cs="仿宋_GB2312"/>
          <w:kern w:val="0"/>
          <w:sz w:val="32"/>
          <w:szCs w:val="32"/>
        </w:rPr>
        <w:t>万元。与上年决算相比，增加</w:t>
      </w:r>
      <w:r>
        <w:rPr>
          <w:rFonts w:hint="eastAsia" w:eastAsia="仿宋_GB2312"/>
          <w:kern w:val="0"/>
          <w:sz w:val="32"/>
          <w:szCs w:val="32"/>
        </w:rPr>
        <w:t>0.00</w:t>
      </w:r>
      <w:r>
        <w:rPr>
          <w:rFonts w:hint="eastAsia" w:ascii="仿宋_GB2312" w:hAnsi="仿宋_GB2312" w:eastAsia="仿宋_GB2312" w:cs="仿宋_GB2312"/>
          <w:kern w:val="0"/>
          <w:sz w:val="32"/>
          <w:szCs w:val="32"/>
        </w:rPr>
        <w:t>万元，增长0.00%，变动原因：</w:t>
      </w:r>
      <w:r>
        <w:rPr>
          <w:rFonts w:hint="eastAsia" w:ascii="仿宋_GB2312" w:hAnsi="仿宋_GB2312" w:eastAsia="仿宋_GB2312" w:cs="仿宋_GB2312"/>
          <w:color w:val="000000" w:themeColor="text1"/>
          <w:kern w:val="0"/>
          <w:sz w:val="32"/>
          <w:szCs w:val="32"/>
          <w14:textFill>
            <w14:solidFill>
              <w14:schemeClr w14:val="tx1"/>
            </w14:solidFill>
          </w14:textFill>
        </w:rPr>
        <w:t>不存在此项内容。</w:t>
      </w:r>
    </w:p>
    <w:p w14:paraId="3D14E6B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3.年初结转和结余</w:t>
      </w:r>
      <w:r>
        <w:rPr>
          <w:rFonts w:hint="eastAsia" w:eastAsia="仿宋_GB2312"/>
          <w:kern w:val="0"/>
          <w:sz w:val="32"/>
          <w:szCs w:val="32"/>
        </w:rPr>
        <w:t>1.92</w:t>
      </w:r>
      <w:r>
        <w:rPr>
          <w:rFonts w:hint="eastAsia" w:ascii="仿宋_GB2312" w:hAnsi="仿宋_GB2312" w:eastAsia="仿宋_GB2312" w:cs="仿宋_GB2312"/>
          <w:kern w:val="0"/>
          <w:sz w:val="32"/>
          <w:szCs w:val="32"/>
        </w:rPr>
        <w:t>万元。与上年决算相比，</w:t>
      </w:r>
      <w:r>
        <w:rPr>
          <w:rFonts w:hint="eastAsia" w:ascii="仿宋_GB2312" w:hAnsi="仿宋_GB2312" w:eastAsia="仿宋_GB2312" w:cs="仿宋_GB2312"/>
          <w:kern w:val="0"/>
          <w:sz w:val="32"/>
          <w:szCs w:val="32"/>
          <w:lang w:val="en-US" w:eastAsia="zh-CN"/>
        </w:rPr>
        <w:t>增加0.00万元，</w:t>
      </w:r>
      <w:r>
        <w:rPr>
          <w:rFonts w:hint="eastAsia" w:ascii="仿宋_GB2312" w:hAnsi="仿宋_GB2312" w:eastAsia="仿宋_GB2312" w:cs="仿宋_GB2312"/>
          <w:kern w:val="0"/>
          <w:sz w:val="32"/>
          <w:szCs w:val="32"/>
        </w:rPr>
        <w:t>增长0.00%，</w:t>
      </w:r>
      <w:r>
        <w:rPr>
          <w:rFonts w:hint="eastAsia" w:ascii="仿宋_GB2312" w:hAnsi="仿宋_GB2312" w:eastAsia="仿宋_GB2312" w:cs="仿宋_GB2312"/>
          <w:kern w:val="0"/>
          <w:sz w:val="32"/>
          <w:szCs w:val="32"/>
          <w:lang w:val="en-US" w:eastAsia="zh-CN"/>
        </w:rPr>
        <w:t>变动原因：</w:t>
      </w:r>
      <w:r>
        <w:rPr>
          <w:rFonts w:hint="eastAsia" w:ascii="仿宋_GB2312" w:hAnsi="仿宋_GB2312" w:eastAsia="仿宋_GB2312" w:cs="仿宋_GB2312"/>
          <w:kern w:val="0"/>
          <w:sz w:val="32"/>
          <w:szCs w:val="32"/>
        </w:rPr>
        <w:t>与上年相比无变化。</w:t>
      </w:r>
    </w:p>
    <w:p w14:paraId="6D4B1CCA">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（二）支出决算总计</w:t>
      </w:r>
      <w:r>
        <w:rPr>
          <w:rFonts w:hint="eastAsia" w:eastAsia="楷体_GB2312"/>
          <w:b/>
          <w:bCs/>
          <w:kern w:val="0"/>
          <w:sz w:val="32"/>
          <w:szCs w:val="32"/>
        </w:rPr>
        <w:t>1,742.99</w:t>
      </w:r>
      <w:r>
        <w:rPr>
          <w:rFonts w:hint="eastAsia" w:ascii="楷体_GB2312" w:hAnsi="楷体_GB2312" w:eastAsia="楷体_GB2312" w:cs="楷体_GB2312"/>
          <w:b/>
          <w:bCs/>
          <w:kern w:val="0"/>
          <w:sz w:val="32"/>
          <w:szCs w:val="32"/>
        </w:rPr>
        <w:t>万元。包括：</w:t>
      </w:r>
    </w:p>
    <w:p w14:paraId="718B824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1.本年支出决算合计</w:t>
      </w:r>
      <w:r>
        <w:rPr>
          <w:rFonts w:hint="eastAsia" w:eastAsia="仿宋_GB2312"/>
          <w:kern w:val="0"/>
          <w:sz w:val="32"/>
          <w:szCs w:val="32"/>
        </w:rPr>
        <w:t>1,742.34</w:t>
      </w:r>
      <w:r>
        <w:rPr>
          <w:rFonts w:hint="eastAsia" w:ascii="仿宋_GB2312" w:hAnsi="仿宋_GB2312" w:eastAsia="仿宋_GB2312" w:cs="仿宋_GB2312"/>
          <w:kern w:val="0"/>
          <w:sz w:val="32"/>
          <w:szCs w:val="32"/>
        </w:rPr>
        <w:t>万元。与上年决算相比，增加73.1</w:t>
      </w:r>
      <w:r>
        <w:rPr>
          <w:rFonts w:hint="eastAsia" w:ascii="仿宋_GB2312" w:hAnsi="仿宋_GB2312" w:eastAsia="仿宋_GB2312" w:cs="仿宋_GB2312"/>
          <w:kern w:val="0"/>
          <w:sz w:val="32"/>
          <w:szCs w:val="32"/>
          <w:lang w:val="en-US" w:eastAsia="zh-CN"/>
        </w:rPr>
        <w:t>2</w:t>
      </w:r>
      <w:r>
        <w:rPr>
          <w:rFonts w:hint="eastAsia" w:ascii="仿宋_GB2312" w:hAnsi="仿宋_GB2312" w:eastAsia="仿宋_GB2312" w:cs="仿宋_GB2312"/>
          <w:kern w:val="0"/>
          <w:sz w:val="32"/>
          <w:szCs w:val="32"/>
        </w:rPr>
        <w:t>万元，增长4.38%，变动原因：新招录人员增多，费用相对增加。</w:t>
      </w:r>
    </w:p>
    <w:p w14:paraId="5525BF1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kern w:val="0"/>
          <w:sz w:val="32"/>
          <w:szCs w:val="32"/>
        </w:rPr>
        <w:t>2.结余分配</w:t>
      </w:r>
      <w:r>
        <w:rPr>
          <w:rFonts w:hint="eastAsia" w:eastAsia="仿宋_GB2312"/>
          <w:kern w:val="0"/>
          <w:sz w:val="32"/>
          <w:szCs w:val="32"/>
        </w:rPr>
        <w:t>0.00</w:t>
      </w:r>
      <w:r>
        <w:rPr>
          <w:rFonts w:hint="eastAsia" w:ascii="仿宋_GB2312" w:hAnsi="仿宋_GB2312" w:eastAsia="仿宋_GB2312" w:cs="仿宋_GB2312"/>
          <w:kern w:val="0"/>
          <w:sz w:val="32"/>
          <w:szCs w:val="32"/>
        </w:rPr>
        <w:t>万元。结余分配事项：我单位无结余分配事项。与上年决算相比，增加</w:t>
      </w:r>
      <w:r>
        <w:rPr>
          <w:rFonts w:hint="eastAsia" w:eastAsia="仿宋_GB2312"/>
          <w:kern w:val="0"/>
          <w:sz w:val="32"/>
          <w:szCs w:val="32"/>
        </w:rPr>
        <w:t>0.00</w:t>
      </w:r>
      <w:r>
        <w:rPr>
          <w:rFonts w:hint="eastAsia" w:ascii="仿宋_GB2312" w:hAnsi="仿宋_GB2312" w:eastAsia="仿宋_GB2312" w:cs="仿宋_GB2312"/>
          <w:kern w:val="0"/>
          <w:sz w:val="32"/>
          <w:szCs w:val="32"/>
        </w:rPr>
        <w:t>万元，增长0.00%，变动原因：</w:t>
      </w:r>
      <w:r>
        <w:rPr>
          <w:rFonts w:hint="eastAsia" w:ascii="仿宋_GB2312" w:hAnsi="仿宋_GB2312" w:eastAsia="仿宋_GB2312" w:cs="仿宋_GB2312"/>
          <w:color w:val="000000" w:themeColor="text1"/>
          <w:kern w:val="0"/>
          <w:sz w:val="32"/>
          <w:szCs w:val="32"/>
          <w14:textFill>
            <w14:solidFill>
              <w14:schemeClr w14:val="tx1"/>
            </w14:solidFill>
          </w14:textFill>
        </w:rPr>
        <w:t>不存在此项内容。</w:t>
      </w:r>
    </w:p>
    <w:p w14:paraId="156B038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3.年末结转和结余</w:t>
      </w:r>
      <w:r>
        <w:rPr>
          <w:rFonts w:hint="eastAsia" w:eastAsia="仿宋_GB2312"/>
          <w:kern w:val="0"/>
          <w:sz w:val="32"/>
          <w:szCs w:val="32"/>
        </w:rPr>
        <w:t>0.65</w:t>
      </w:r>
      <w:r>
        <w:rPr>
          <w:rFonts w:hint="eastAsia" w:ascii="仿宋_GB2312" w:hAnsi="仿宋_GB2312" w:eastAsia="仿宋_GB2312" w:cs="仿宋_GB2312"/>
          <w:kern w:val="0"/>
          <w:sz w:val="32"/>
          <w:szCs w:val="32"/>
        </w:rPr>
        <w:t>万元。结转和结余事项：以往年度支出</w:t>
      </w:r>
      <w:r>
        <w:rPr>
          <w:rFonts w:hint="eastAsia" w:ascii="仿宋_GB2312" w:hAnsi="仿宋_GB2312" w:eastAsia="仿宋_GB2312" w:cs="仿宋_GB2312"/>
          <w:kern w:val="0"/>
          <w:sz w:val="32"/>
          <w:szCs w:val="32"/>
          <w:lang w:val="en-US" w:eastAsia="zh-CN"/>
        </w:rPr>
        <w:t>款项</w:t>
      </w:r>
      <w:r>
        <w:rPr>
          <w:rFonts w:hint="eastAsia" w:ascii="仿宋_GB2312" w:hAnsi="仿宋_GB2312" w:eastAsia="仿宋_GB2312" w:cs="仿宋_GB2312"/>
          <w:kern w:val="0"/>
          <w:sz w:val="32"/>
          <w:szCs w:val="32"/>
        </w:rPr>
        <w:t>货款仍未交付。与上年决算相比，减少1.27万元，</w:t>
      </w:r>
      <w:r>
        <w:rPr>
          <w:rFonts w:hint="eastAsia" w:ascii="仿宋_GB2312" w:hAnsi="仿宋_GB2312" w:eastAsia="仿宋_GB2312" w:cs="仿宋_GB2312"/>
          <w:kern w:val="0"/>
          <w:sz w:val="32"/>
          <w:szCs w:val="32"/>
          <w:lang w:val="en-US" w:eastAsia="zh-CN"/>
        </w:rPr>
        <w:t>下降</w:t>
      </w:r>
      <w:r>
        <w:rPr>
          <w:rFonts w:hint="eastAsia" w:ascii="仿宋_GB2312" w:hAnsi="仿宋_GB2312" w:eastAsia="仿宋_GB2312" w:cs="仿宋_GB2312"/>
          <w:kern w:val="0"/>
          <w:sz w:val="32"/>
          <w:szCs w:val="32"/>
        </w:rPr>
        <w:t>66.17%，减少原因：交付部分货物。</w:t>
      </w:r>
    </w:p>
    <w:p w14:paraId="1CECD22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kern w:val="0"/>
          <w:sz w:val="32"/>
          <w:szCs w:val="32"/>
        </w:rPr>
      </w:pPr>
      <w:r>
        <w:rPr>
          <w:rFonts w:hint="eastAsia" w:ascii="黑体" w:hAnsi="黑体" w:eastAsia="黑体" w:cs="黑体"/>
          <w:kern w:val="0"/>
          <w:sz w:val="32"/>
          <w:szCs w:val="32"/>
        </w:rPr>
        <w:t>二、收入决算情况说明</w:t>
      </w:r>
    </w:p>
    <w:p w14:paraId="2B2350A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内蒙古大兴安岭森林公安局满归分局2025年度本年收入决算合计</w:t>
      </w:r>
      <w:r>
        <w:rPr>
          <w:rFonts w:hint="eastAsia" w:eastAsia="仿宋_GB2312"/>
          <w:kern w:val="0"/>
          <w:sz w:val="32"/>
          <w:szCs w:val="32"/>
        </w:rPr>
        <w:t>1,741.07</w:t>
      </w:r>
      <w:r>
        <w:rPr>
          <w:rFonts w:hint="eastAsia" w:ascii="仿宋_GB2312" w:hAnsi="仿宋_GB2312" w:eastAsia="仿宋_GB2312" w:cs="仿宋_GB2312"/>
          <w:kern w:val="0"/>
          <w:sz w:val="32"/>
          <w:szCs w:val="32"/>
        </w:rPr>
        <w:t>万元，其中：</w:t>
      </w:r>
    </w:p>
    <w:p w14:paraId="00CD708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一般公共预算财政拨款收入</w:t>
      </w:r>
      <w:r>
        <w:rPr>
          <w:rFonts w:hint="eastAsia" w:eastAsia="仿宋_GB2312"/>
          <w:kern w:val="0"/>
          <w:sz w:val="32"/>
          <w:szCs w:val="32"/>
        </w:rPr>
        <w:t>1,741.07</w:t>
      </w:r>
      <w:r>
        <w:rPr>
          <w:rFonts w:hint="eastAsia" w:ascii="仿宋_GB2312" w:hAnsi="仿宋_GB2312" w:eastAsia="仿宋_GB2312" w:cs="仿宋_GB2312"/>
          <w:kern w:val="0"/>
          <w:sz w:val="32"/>
          <w:szCs w:val="32"/>
        </w:rPr>
        <w:t>万元，占100.00%；</w:t>
      </w:r>
    </w:p>
    <w:p w14:paraId="0485446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政府性基金预算财政拨款收入</w:t>
      </w:r>
      <w:r>
        <w:rPr>
          <w:rFonts w:hint="eastAsia" w:eastAsia="仿宋_GB2312"/>
          <w:kern w:val="0"/>
          <w:sz w:val="32"/>
          <w:szCs w:val="32"/>
        </w:rPr>
        <w:t>0.00</w:t>
      </w:r>
      <w:r>
        <w:rPr>
          <w:rFonts w:hint="eastAsia" w:ascii="仿宋_GB2312" w:hAnsi="仿宋_GB2312" w:eastAsia="仿宋_GB2312" w:cs="仿宋_GB2312"/>
          <w:kern w:val="0"/>
          <w:sz w:val="32"/>
          <w:szCs w:val="32"/>
        </w:rPr>
        <w:t>万元，占0.00%；</w:t>
      </w:r>
    </w:p>
    <w:p w14:paraId="243930B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国有资本经营预算财政拨款收入</w:t>
      </w:r>
      <w:r>
        <w:rPr>
          <w:rFonts w:hint="eastAsia" w:eastAsia="仿宋_GB2312"/>
          <w:kern w:val="0"/>
          <w:sz w:val="32"/>
          <w:szCs w:val="32"/>
        </w:rPr>
        <w:t>0.00</w:t>
      </w:r>
      <w:r>
        <w:rPr>
          <w:rFonts w:hint="eastAsia" w:ascii="仿宋_GB2312" w:hAnsi="仿宋_GB2312" w:eastAsia="仿宋_GB2312" w:cs="仿宋_GB2312"/>
          <w:kern w:val="0"/>
          <w:sz w:val="32"/>
          <w:szCs w:val="32"/>
        </w:rPr>
        <w:t>万元，占0.00%；</w:t>
      </w:r>
    </w:p>
    <w:p w14:paraId="5C971FB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上级补助收入</w:t>
      </w:r>
      <w:r>
        <w:rPr>
          <w:rFonts w:hint="eastAsia" w:eastAsia="仿宋_GB2312"/>
          <w:kern w:val="0"/>
          <w:sz w:val="32"/>
          <w:szCs w:val="32"/>
        </w:rPr>
        <w:t>0.00</w:t>
      </w:r>
      <w:r>
        <w:rPr>
          <w:rFonts w:hint="eastAsia" w:ascii="仿宋_GB2312" w:hAnsi="仿宋_GB2312" w:eastAsia="仿宋_GB2312" w:cs="仿宋_GB2312"/>
          <w:kern w:val="0"/>
          <w:sz w:val="32"/>
          <w:szCs w:val="32"/>
        </w:rPr>
        <w:t>万元，占0.00%；</w:t>
      </w:r>
    </w:p>
    <w:p w14:paraId="4D74B1E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事业收入</w:t>
      </w:r>
      <w:r>
        <w:rPr>
          <w:rFonts w:hint="eastAsia" w:eastAsia="仿宋_GB2312"/>
          <w:kern w:val="0"/>
          <w:sz w:val="32"/>
          <w:szCs w:val="32"/>
        </w:rPr>
        <w:t>0.00</w:t>
      </w:r>
      <w:r>
        <w:rPr>
          <w:rFonts w:hint="eastAsia" w:ascii="仿宋_GB2312" w:hAnsi="仿宋_GB2312" w:eastAsia="仿宋_GB2312" w:cs="仿宋_GB2312"/>
          <w:kern w:val="0"/>
          <w:sz w:val="32"/>
          <w:szCs w:val="32"/>
        </w:rPr>
        <w:t>万元，占0.00%；</w:t>
      </w:r>
    </w:p>
    <w:p w14:paraId="05ACCAC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经营收入</w:t>
      </w:r>
      <w:r>
        <w:rPr>
          <w:rFonts w:hint="eastAsia" w:eastAsia="仿宋_GB2312"/>
          <w:kern w:val="0"/>
          <w:sz w:val="32"/>
          <w:szCs w:val="32"/>
        </w:rPr>
        <w:t>0.00</w:t>
      </w:r>
      <w:r>
        <w:rPr>
          <w:rFonts w:hint="eastAsia" w:ascii="仿宋_GB2312" w:hAnsi="仿宋_GB2312" w:eastAsia="仿宋_GB2312" w:cs="仿宋_GB2312"/>
          <w:kern w:val="0"/>
          <w:sz w:val="32"/>
          <w:szCs w:val="32"/>
        </w:rPr>
        <w:t>万元，占0.00%；</w:t>
      </w:r>
    </w:p>
    <w:p w14:paraId="2A00C00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附属单位上缴收入</w:t>
      </w:r>
      <w:r>
        <w:rPr>
          <w:rFonts w:hint="eastAsia" w:eastAsia="仿宋_GB2312"/>
          <w:kern w:val="0"/>
          <w:sz w:val="32"/>
          <w:szCs w:val="32"/>
        </w:rPr>
        <w:t>0.00</w:t>
      </w:r>
      <w:r>
        <w:rPr>
          <w:rFonts w:hint="eastAsia" w:ascii="仿宋_GB2312" w:hAnsi="仿宋_GB2312" w:eastAsia="仿宋_GB2312" w:cs="仿宋_GB2312"/>
          <w:kern w:val="0"/>
          <w:sz w:val="32"/>
          <w:szCs w:val="32"/>
        </w:rPr>
        <w:t>万元，占0.00%；</w:t>
      </w:r>
    </w:p>
    <w:p w14:paraId="1C6DD2C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其他收入</w:t>
      </w:r>
      <w:r>
        <w:rPr>
          <w:rFonts w:hint="eastAsia" w:eastAsia="仿宋_GB2312"/>
          <w:kern w:val="0"/>
          <w:sz w:val="32"/>
          <w:szCs w:val="32"/>
        </w:rPr>
        <w:t>0.00</w:t>
      </w:r>
      <w:r>
        <w:rPr>
          <w:rFonts w:hint="eastAsia" w:ascii="仿宋_GB2312" w:hAnsi="仿宋_GB2312" w:eastAsia="仿宋_GB2312" w:cs="仿宋_GB2312"/>
          <w:kern w:val="0"/>
          <w:sz w:val="32"/>
          <w:szCs w:val="32"/>
        </w:rPr>
        <w:t>万元，占0.00%。</w:t>
      </w:r>
    </w:p>
    <w:p w14:paraId="79399E68">
      <w:pPr>
        <w:spacing w:line="760" w:lineRule="exact"/>
        <w:ind w:firstLine="420" w:firstLineChars="200"/>
        <w:jc w:val="both"/>
        <w:rPr>
          <w:rFonts w:eastAsia="仿宋_GB2312"/>
          <w:kern w:val="0"/>
          <w:sz w:val="32"/>
          <w:szCs w:val="32"/>
        </w:rPr>
      </w:pPr>
      <w:r>
        <w:rPr>
          <w:rFonts w:hint="eastAsia"/>
        </w:rPr>
        <w:drawing>
          <wp:anchor distT="0" distB="0" distL="0" distR="0" simplePos="0" relativeHeight="251659264" behindDoc="1" locked="0" layoutInCell="1" allowOverlap="1">
            <wp:simplePos x="0" y="0"/>
            <wp:positionH relativeFrom="column">
              <wp:posOffset>365760</wp:posOffset>
            </wp:positionH>
            <wp:positionV relativeFrom="paragraph">
              <wp:posOffset>253365</wp:posOffset>
            </wp:positionV>
            <wp:extent cx="4744720" cy="2491740"/>
            <wp:effectExtent l="4445" t="4445" r="5715" b="18415"/>
            <wp:wrapTight wrapText="bothSides">
              <wp:wrapPolygon>
                <wp:start x="-20" y="-39"/>
                <wp:lineTo x="-20" y="21495"/>
                <wp:lineTo x="21557" y="21495"/>
                <wp:lineTo x="21557" y="-39"/>
                <wp:lineTo x="-20" y="-39"/>
              </wp:wrapPolygon>
            </wp:wrapTight>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anchor>
        </w:drawing>
      </w:r>
    </w:p>
    <w:p w14:paraId="3D464D9F">
      <w:pPr>
        <w:spacing w:line="760" w:lineRule="exact"/>
        <w:ind w:firstLine="640" w:firstLineChars="200"/>
        <w:jc w:val="center"/>
        <w:rPr>
          <w:rFonts w:eastAsia="仿宋_GB2312"/>
          <w:kern w:val="0"/>
          <w:sz w:val="32"/>
          <w:szCs w:val="32"/>
        </w:rPr>
      </w:pPr>
      <w:r>
        <w:rPr>
          <w:rFonts w:eastAsia="仿宋_GB2312"/>
          <w:kern w:val="0"/>
          <w:sz w:val="32"/>
          <w:szCs w:val="32"/>
        </w:rPr>
        <w:t>图1.收入决算图</w:t>
      </w:r>
    </w:p>
    <w:p w14:paraId="67BC1C2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eastAsia="仿宋_GB2312"/>
          <w:kern w:val="0"/>
          <w:sz w:val="32"/>
          <w:szCs w:val="32"/>
        </w:rPr>
      </w:pPr>
      <w:r>
        <w:rPr>
          <w:rFonts w:hint="eastAsia" w:ascii="黑体" w:hAnsi="黑体" w:eastAsia="黑体" w:cs="黑体"/>
          <w:kern w:val="0"/>
          <w:sz w:val="32"/>
          <w:szCs w:val="32"/>
        </w:rPr>
        <w:t>三、支出决算情况说明</w:t>
      </w:r>
    </w:p>
    <w:p w14:paraId="4DBC49A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内蒙古大兴安岭森林公安局满归分局2025年度本年支出决算合计</w:t>
      </w:r>
      <w:r>
        <w:rPr>
          <w:rFonts w:hint="eastAsia" w:eastAsia="仿宋_GB2312"/>
          <w:kern w:val="0"/>
          <w:sz w:val="32"/>
          <w:szCs w:val="32"/>
        </w:rPr>
        <w:t>1,742.34</w:t>
      </w:r>
      <w:r>
        <w:rPr>
          <w:rFonts w:hint="eastAsia" w:ascii="仿宋_GB2312" w:hAnsi="仿宋_GB2312" w:eastAsia="仿宋_GB2312" w:cs="仿宋_GB2312"/>
          <w:kern w:val="0"/>
          <w:sz w:val="32"/>
          <w:szCs w:val="32"/>
        </w:rPr>
        <w:t>万元，其中：</w:t>
      </w:r>
    </w:p>
    <w:p w14:paraId="3DCF5A8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基本支出</w:t>
      </w:r>
      <w:r>
        <w:rPr>
          <w:rFonts w:hint="eastAsia" w:eastAsia="仿宋_GB2312"/>
          <w:kern w:val="0"/>
          <w:sz w:val="32"/>
          <w:szCs w:val="32"/>
        </w:rPr>
        <w:t>1,662.34</w:t>
      </w:r>
      <w:r>
        <w:rPr>
          <w:rFonts w:hint="eastAsia" w:ascii="仿宋_GB2312" w:hAnsi="仿宋_GB2312" w:eastAsia="仿宋_GB2312" w:cs="仿宋_GB2312"/>
          <w:kern w:val="0"/>
          <w:sz w:val="32"/>
          <w:szCs w:val="32"/>
        </w:rPr>
        <w:t>万元，占95.41%；</w:t>
      </w:r>
    </w:p>
    <w:p w14:paraId="4C302231">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项目支出</w:t>
      </w:r>
      <w:r>
        <w:rPr>
          <w:rFonts w:hint="eastAsia" w:eastAsia="仿宋_GB2312"/>
          <w:kern w:val="0"/>
          <w:sz w:val="32"/>
          <w:szCs w:val="32"/>
        </w:rPr>
        <w:t>80.00</w:t>
      </w:r>
      <w:r>
        <w:rPr>
          <w:rFonts w:hint="eastAsia" w:ascii="仿宋_GB2312" w:hAnsi="仿宋_GB2312" w:eastAsia="仿宋_GB2312" w:cs="仿宋_GB2312"/>
          <w:kern w:val="0"/>
          <w:sz w:val="32"/>
          <w:szCs w:val="32"/>
        </w:rPr>
        <w:t>万元，占4.59%；</w:t>
      </w:r>
    </w:p>
    <w:p w14:paraId="1128B17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上缴上级支出</w:t>
      </w:r>
      <w:r>
        <w:rPr>
          <w:rFonts w:hint="eastAsia" w:eastAsia="仿宋_GB2312"/>
          <w:kern w:val="0"/>
          <w:sz w:val="32"/>
          <w:szCs w:val="32"/>
        </w:rPr>
        <w:t>0.00</w:t>
      </w:r>
      <w:r>
        <w:rPr>
          <w:rFonts w:hint="eastAsia" w:ascii="仿宋_GB2312" w:hAnsi="仿宋_GB2312" w:eastAsia="仿宋_GB2312" w:cs="仿宋_GB2312"/>
          <w:kern w:val="0"/>
          <w:sz w:val="32"/>
          <w:szCs w:val="32"/>
        </w:rPr>
        <w:t>万元，占0.00%；</w:t>
      </w:r>
    </w:p>
    <w:p w14:paraId="2BDB431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经营支出</w:t>
      </w:r>
      <w:r>
        <w:rPr>
          <w:rFonts w:hint="eastAsia" w:eastAsia="仿宋_GB2312"/>
          <w:kern w:val="0"/>
          <w:sz w:val="32"/>
          <w:szCs w:val="32"/>
        </w:rPr>
        <w:t>0.00</w:t>
      </w:r>
      <w:r>
        <w:rPr>
          <w:rFonts w:hint="eastAsia" w:ascii="仿宋_GB2312" w:hAnsi="仿宋_GB2312" w:eastAsia="仿宋_GB2312" w:cs="仿宋_GB2312"/>
          <w:kern w:val="0"/>
          <w:sz w:val="32"/>
          <w:szCs w:val="32"/>
        </w:rPr>
        <w:t>万元，占0.00%；</w:t>
      </w:r>
    </w:p>
    <w:p w14:paraId="09ABB56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对附属单位补助支出</w:t>
      </w:r>
      <w:r>
        <w:rPr>
          <w:rFonts w:hint="eastAsia" w:eastAsia="仿宋_GB2312"/>
          <w:kern w:val="0"/>
          <w:sz w:val="32"/>
          <w:szCs w:val="32"/>
        </w:rPr>
        <w:t>0.00</w:t>
      </w:r>
      <w:r>
        <w:rPr>
          <w:rFonts w:hint="eastAsia" w:ascii="仿宋_GB2312" w:hAnsi="仿宋_GB2312" w:eastAsia="仿宋_GB2312" w:cs="仿宋_GB2312"/>
          <w:kern w:val="0"/>
          <w:sz w:val="32"/>
          <w:szCs w:val="32"/>
        </w:rPr>
        <w:t>万元，占0.00%</w:t>
      </w:r>
    </w:p>
    <w:p w14:paraId="0D88AC05">
      <w:pPr>
        <w:keepNext w:val="0"/>
        <w:keepLines w:val="0"/>
        <w:pageBreakBefore w:val="0"/>
        <w:widowControl w:val="0"/>
        <w:kinsoku/>
        <w:wordWrap/>
        <w:overflowPunct/>
        <w:topLinePunct w:val="0"/>
        <w:autoSpaceDE/>
        <w:autoSpaceDN/>
        <w:bidi w:val="0"/>
        <w:adjustRightInd/>
        <w:snapToGrid/>
        <w:spacing w:line="560" w:lineRule="exact"/>
        <w:jc w:val="both"/>
        <w:textAlignment w:val="auto"/>
      </w:pPr>
      <w:r>
        <w:rPr>
          <w:rFonts w:hint="eastAsia"/>
        </w:rPr>
        <w:drawing>
          <wp:anchor distT="0" distB="0" distL="0" distR="0" simplePos="0" relativeHeight="251660288" behindDoc="0" locked="0" layoutInCell="1" allowOverlap="1">
            <wp:simplePos x="0" y="0"/>
            <wp:positionH relativeFrom="column">
              <wp:posOffset>86995</wp:posOffset>
            </wp:positionH>
            <wp:positionV relativeFrom="paragraph">
              <wp:posOffset>238760</wp:posOffset>
            </wp:positionV>
            <wp:extent cx="5252720" cy="2879725"/>
            <wp:effectExtent l="4445" t="4445" r="15875" b="11430"/>
            <wp:wrapTopAndBottom/>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p>
    <w:p w14:paraId="2B1DACCF">
      <w:pPr>
        <w:spacing w:line="760" w:lineRule="exact"/>
        <w:ind w:firstLine="640" w:firstLineChars="200"/>
        <w:jc w:val="center"/>
        <w:rPr>
          <w:rFonts w:hint="eastAsia" w:ascii="黑体" w:hAnsi="黑体" w:eastAsia="黑体" w:cs="黑体"/>
          <w:kern w:val="0"/>
          <w:sz w:val="32"/>
          <w:szCs w:val="32"/>
        </w:rPr>
      </w:pPr>
      <w:r>
        <w:rPr>
          <w:rFonts w:hint="eastAsia" w:ascii="仿宋_GB2312" w:hAnsi="仿宋_GB2312" w:eastAsia="仿宋_GB2312" w:cs="仿宋_GB2312"/>
          <w:kern w:val="0"/>
          <w:sz w:val="32"/>
          <w:szCs w:val="32"/>
        </w:rPr>
        <w:t>图2.支出决算图</w:t>
      </w:r>
    </w:p>
    <w:p w14:paraId="44C6191F">
      <w:pPr>
        <w:keepNext w:val="0"/>
        <w:keepLines w:val="0"/>
        <w:pageBreakBefore w:val="0"/>
        <w:kinsoku/>
        <w:wordWrap/>
        <w:overflowPunct/>
        <w:topLinePunct w:val="0"/>
        <w:autoSpaceDN/>
        <w:bidi w:val="0"/>
        <w:adjustRightInd/>
        <w:snapToGrid/>
        <w:spacing w:line="560" w:lineRule="exact"/>
        <w:ind w:firstLine="640" w:firstLineChars="200"/>
        <w:jc w:val="both"/>
        <w:textAlignment w:val="auto"/>
        <w:rPr>
          <w:rFonts w:hint="eastAsia" w:ascii="黑体" w:hAnsi="黑体" w:eastAsia="黑体" w:cs="黑体"/>
          <w:kern w:val="0"/>
          <w:sz w:val="32"/>
          <w:szCs w:val="32"/>
        </w:rPr>
      </w:pPr>
      <w:r>
        <w:rPr>
          <w:rFonts w:hint="eastAsia" w:ascii="黑体" w:hAnsi="黑体" w:eastAsia="黑体" w:cs="黑体"/>
          <w:kern w:val="0"/>
          <w:sz w:val="32"/>
          <w:szCs w:val="32"/>
        </w:rPr>
        <w:t>四、财政拨款收入支出决算总体情况说明</w:t>
      </w:r>
    </w:p>
    <w:p w14:paraId="06CF1858">
      <w:pPr>
        <w:keepNext w:val="0"/>
        <w:keepLines w:val="0"/>
        <w:pageBreakBefore w:val="0"/>
        <w:widowControl/>
        <w:kinsoku/>
        <w:wordWrap/>
        <w:overflowPunct/>
        <w:topLinePunct w:val="0"/>
        <w:autoSpaceDN/>
        <w:bidi w:val="0"/>
        <w:adjustRightInd/>
        <w:snapToGrid/>
        <w:spacing w:line="560" w:lineRule="exact"/>
        <w:ind w:firstLine="640" w:firstLineChars="200"/>
        <w:jc w:val="both"/>
        <w:textAlignment w:val="auto"/>
        <w:rPr>
          <w:rFonts w:eastAsia="仿宋_GB2312"/>
          <w:kern w:val="0"/>
          <w:sz w:val="32"/>
          <w:szCs w:val="32"/>
        </w:rPr>
      </w:pPr>
      <w:r>
        <w:rPr>
          <w:rFonts w:hint="eastAsia" w:ascii="仿宋_GB2312" w:hAnsi="仿宋_GB2312" w:eastAsia="仿宋_GB2312" w:cs="仿宋_GB2312"/>
          <w:kern w:val="0"/>
          <w:sz w:val="32"/>
          <w:szCs w:val="32"/>
        </w:rPr>
        <w:t>内蒙古大兴安岭森林公安局满归分局2025年度财政拨款收入、支出决算总计1,742.99万元，与年初预算相比，收、支总计各增加</w:t>
      </w:r>
      <w:r>
        <w:rPr>
          <w:rFonts w:hint="eastAsia" w:eastAsia="仿宋_GB2312"/>
          <w:kern w:val="0"/>
          <w:sz w:val="32"/>
          <w:szCs w:val="32"/>
        </w:rPr>
        <w:t>64.64</w:t>
      </w:r>
      <w:r>
        <w:rPr>
          <w:rFonts w:hint="eastAsia" w:ascii="仿宋_GB2312" w:hAnsi="仿宋_GB2312" w:eastAsia="仿宋_GB2312" w:cs="仿宋_GB2312"/>
          <w:kern w:val="0"/>
          <w:sz w:val="32"/>
          <w:szCs w:val="32"/>
        </w:rPr>
        <w:t>万元，增长3.85%，变动原因：新招录人员增多，人员工资的调整，经费收入增加；与上年决算相比，收、支总计各增加71.84万元，增长4.30%，变动原因：新增人员增多，费用相对增加</w:t>
      </w:r>
      <w:r>
        <w:rPr>
          <w:rFonts w:eastAsia="仿宋_GB2312"/>
          <w:kern w:val="0"/>
          <w:sz w:val="32"/>
          <w:szCs w:val="32"/>
        </w:rPr>
        <w:t>。</w:t>
      </w:r>
    </w:p>
    <w:p w14:paraId="7B284AB6">
      <w:pPr>
        <w:keepNext w:val="0"/>
        <w:keepLines w:val="0"/>
        <w:pageBreakBefore w:val="0"/>
        <w:kinsoku/>
        <w:wordWrap/>
        <w:overflowPunct/>
        <w:topLinePunct w:val="0"/>
        <w:autoSpaceDN/>
        <w:bidi w:val="0"/>
        <w:adjustRightInd/>
        <w:snapToGrid/>
        <w:spacing w:line="560" w:lineRule="exact"/>
        <w:ind w:firstLine="640" w:firstLineChars="200"/>
        <w:jc w:val="both"/>
        <w:textAlignment w:val="auto"/>
        <w:rPr>
          <w:rFonts w:hint="eastAsia" w:ascii="黑体" w:hAnsi="黑体" w:eastAsia="黑体" w:cs="黑体"/>
          <w:kern w:val="0"/>
          <w:sz w:val="32"/>
          <w:szCs w:val="32"/>
        </w:rPr>
      </w:pPr>
      <w:r>
        <w:rPr>
          <w:rFonts w:ascii="黑体" w:hAnsi="黑体" w:eastAsia="黑体" w:cs="黑体"/>
          <w:kern w:val="0"/>
          <w:sz w:val="32"/>
          <w:szCs w:val="32"/>
        </w:rPr>
        <w:t>五、一般公共预算财政拨款支出决算情况说明</w:t>
      </w:r>
    </w:p>
    <w:p w14:paraId="795FA645">
      <w:pPr>
        <w:keepNext w:val="0"/>
        <w:keepLines w:val="0"/>
        <w:pageBreakBefore w:val="0"/>
        <w:kinsoku/>
        <w:wordWrap/>
        <w:overflowPunct/>
        <w:topLinePunct w:val="0"/>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内蒙古大兴安岭森林公安局满归分局2025年度一般公共预算财政拨款支出决算</w:t>
      </w:r>
      <w:r>
        <w:rPr>
          <w:rFonts w:hint="eastAsia" w:eastAsia="仿宋_GB2312"/>
          <w:kern w:val="0"/>
          <w:sz w:val="32"/>
          <w:szCs w:val="32"/>
        </w:rPr>
        <w:t>1,742.34</w:t>
      </w:r>
      <w:r>
        <w:rPr>
          <w:rFonts w:hint="eastAsia" w:ascii="仿宋_GB2312" w:hAnsi="仿宋_GB2312" w:eastAsia="仿宋_GB2312" w:cs="仿宋_GB2312"/>
          <w:kern w:val="0"/>
          <w:sz w:val="32"/>
          <w:szCs w:val="32"/>
        </w:rPr>
        <w:t>万元。与年初预算</w:t>
      </w:r>
      <w:r>
        <w:rPr>
          <w:rFonts w:hint="eastAsia" w:eastAsia="仿宋_GB2312"/>
          <w:kern w:val="0"/>
          <w:sz w:val="32"/>
          <w:szCs w:val="32"/>
        </w:rPr>
        <w:t>1,678.35</w:t>
      </w:r>
      <w:r>
        <w:rPr>
          <w:rFonts w:hint="eastAsia" w:ascii="仿宋_GB2312" w:hAnsi="仿宋_GB2312" w:eastAsia="仿宋_GB2312" w:cs="仿宋_GB2312"/>
          <w:kern w:val="0"/>
          <w:sz w:val="32"/>
          <w:szCs w:val="32"/>
        </w:rPr>
        <w:t>万元相比，完成年初预算的103.81%。其中：</w:t>
      </w:r>
    </w:p>
    <w:p w14:paraId="42FA5C69">
      <w:pPr>
        <w:keepNext w:val="0"/>
        <w:keepLines w:val="0"/>
        <w:pageBreakBefore w:val="0"/>
        <w:kinsoku/>
        <w:wordWrap/>
        <w:overflowPunct/>
        <w:topLinePunct w:val="0"/>
        <w:autoSpaceDN/>
        <w:bidi w:val="0"/>
        <w:adjustRightInd/>
        <w:snapToGrid/>
        <w:spacing w:line="560" w:lineRule="exact"/>
        <w:ind w:firstLine="643" w:firstLineChars="200"/>
        <w:jc w:val="both"/>
        <w:textAlignment w:val="auto"/>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w:t>
      </w:r>
      <w:r>
        <w:rPr>
          <w:rFonts w:hint="eastAsia" w:ascii="楷体_GB2312" w:hAnsi="楷体_GB2312" w:eastAsia="楷体_GB2312" w:cs="楷体_GB2312"/>
          <w:b/>
          <w:bCs/>
          <w:kern w:val="0"/>
          <w:sz w:val="32"/>
          <w:szCs w:val="32"/>
          <w:lang w:val="en-US" w:eastAsia="zh-CN"/>
        </w:rPr>
        <w:t>一</w:t>
      </w:r>
      <w:r>
        <w:rPr>
          <w:rFonts w:hint="eastAsia" w:ascii="楷体_GB2312" w:hAnsi="楷体_GB2312" w:eastAsia="楷体_GB2312" w:cs="楷体_GB2312"/>
          <w:b/>
          <w:bCs/>
          <w:kern w:val="0"/>
          <w:sz w:val="32"/>
          <w:szCs w:val="32"/>
        </w:rPr>
        <w:t>）公共安全（类）</w:t>
      </w:r>
    </w:p>
    <w:p w14:paraId="5E51F9E9">
      <w:pPr>
        <w:keepNext w:val="0"/>
        <w:keepLines w:val="0"/>
        <w:pageBreakBefore w:val="0"/>
        <w:kinsoku/>
        <w:wordWrap/>
        <w:overflowPunct/>
        <w:topLinePunct w:val="0"/>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公共安全(类)决算数为</w:t>
      </w:r>
      <w:r>
        <w:rPr>
          <w:rFonts w:hint="eastAsia" w:eastAsia="仿宋_GB2312"/>
          <w:kern w:val="0"/>
          <w:sz w:val="32"/>
          <w:szCs w:val="32"/>
        </w:rPr>
        <w:t>1,336.09</w:t>
      </w:r>
      <w:r>
        <w:rPr>
          <w:rFonts w:hint="eastAsia" w:ascii="仿宋_GB2312" w:hAnsi="仿宋_GB2312" w:eastAsia="仿宋_GB2312" w:cs="仿宋_GB2312"/>
          <w:kern w:val="0"/>
          <w:sz w:val="32"/>
          <w:szCs w:val="32"/>
        </w:rPr>
        <w:t>万元，与年初预算相比增加</w:t>
      </w:r>
      <w:r>
        <w:rPr>
          <w:rFonts w:hint="eastAsia" w:eastAsia="仿宋_GB2312"/>
          <w:kern w:val="0"/>
          <w:sz w:val="32"/>
          <w:szCs w:val="32"/>
        </w:rPr>
        <w:t>77.76</w:t>
      </w:r>
      <w:r>
        <w:rPr>
          <w:rFonts w:hint="eastAsia" w:ascii="仿宋_GB2312" w:hAnsi="仿宋_GB2312" w:eastAsia="仿宋_GB2312" w:cs="仿宋_GB2312"/>
          <w:kern w:val="0"/>
          <w:sz w:val="32"/>
          <w:szCs w:val="32"/>
        </w:rPr>
        <w:t>万元。其中：</w:t>
      </w:r>
    </w:p>
    <w:p w14:paraId="47B570CC">
      <w:pPr>
        <w:keepNext w:val="0"/>
        <w:keepLines w:val="0"/>
        <w:pageBreakBefore w:val="0"/>
        <w:kinsoku/>
        <w:wordWrap/>
        <w:overflowPunct/>
        <w:topLinePunct w:val="0"/>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公安（款）行政运行（项）。年初预算</w:t>
      </w:r>
      <w:r>
        <w:rPr>
          <w:rFonts w:hint="eastAsia" w:eastAsia="仿宋_GB2312"/>
          <w:kern w:val="0"/>
          <w:sz w:val="32"/>
          <w:szCs w:val="32"/>
        </w:rPr>
        <w:t>1,218.33</w:t>
      </w:r>
      <w:r>
        <w:rPr>
          <w:rFonts w:hint="eastAsia" w:ascii="仿宋_GB2312" w:hAnsi="仿宋_GB2312" w:eastAsia="仿宋_GB2312" w:cs="仿宋_GB2312"/>
          <w:kern w:val="0"/>
          <w:sz w:val="32"/>
          <w:szCs w:val="32"/>
        </w:rPr>
        <w:t>万元，支出决算</w:t>
      </w:r>
      <w:r>
        <w:rPr>
          <w:rFonts w:hint="eastAsia" w:eastAsia="仿宋_GB2312"/>
          <w:kern w:val="0"/>
          <w:sz w:val="32"/>
          <w:szCs w:val="32"/>
        </w:rPr>
        <w:t>1,256.09</w:t>
      </w:r>
      <w:r>
        <w:rPr>
          <w:rFonts w:hint="eastAsia" w:ascii="仿宋_GB2312" w:hAnsi="仿宋_GB2312" w:eastAsia="仿宋_GB2312" w:cs="仿宋_GB2312"/>
          <w:kern w:val="0"/>
          <w:sz w:val="32"/>
          <w:szCs w:val="32"/>
        </w:rPr>
        <w:t>万元，完成年初预算的103.10%。决算数与年初预算数的差异原因：新招录人员增多，费用相对增加。</w:t>
      </w:r>
    </w:p>
    <w:p w14:paraId="6ECD2EBE">
      <w:pPr>
        <w:keepNext w:val="0"/>
        <w:keepLines w:val="0"/>
        <w:pageBreakBefore w:val="0"/>
        <w:widowControl/>
        <w:kinsoku/>
        <w:wordWrap/>
        <w:overflowPunct/>
        <w:topLinePunct w:val="0"/>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公安（款）一般行政管理事务（项）。年初预算</w:t>
      </w:r>
      <w:r>
        <w:rPr>
          <w:rFonts w:hint="eastAsia" w:eastAsia="仿宋_GB2312"/>
          <w:kern w:val="0"/>
          <w:sz w:val="32"/>
          <w:szCs w:val="32"/>
        </w:rPr>
        <w:t>40.00</w:t>
      </w:r>
      <w:r>
        <w:rPr>
          <w:rFonts w:hint="eastAsia" w:ascii="仿宋_GB2312" w:hAnsi="仿宋_GB2312" w:eastAsia="仿宋_GB2312" w:cs="仿宋_GB2312"/>
          <w:kern w:val="0"/>
          <w:sz w:val="32"/>
          <w:szCs w:val="32"/>
        </w:rPr>
        <w:t>万元，支出决算</w:t>
      </w:r>
      <w:r>
        <w:rPr>
          <w:rFonts w:hint="eastAsia" w:eastAsia="仿宋_GB2312"/>
          <w:kern w:val="0"/>
          <w:sz w:val="32"/>
          <w:szCs w:val="32"/>
        </w:rPr>
        <w:t>80.00</w:t>
      </w:r>
      <w:r>
        <w:rPr>
          <w:rFonts w:hint="eastAsia" w:ascii="仿宋_GB2312" w:hAnsi="仿宋_GB2312" w:eastAsia="仿宋_GB2312" w:cs="仿宋_GB2312"/>
          <w:kern w:val="0"/>
          <w:sz w:val="32"/>
          <w:szCs w:val="32"/>
        </w:rPr>
        <w:t>万元，完成年初预算的200.00%.决算数与年初预算数无差异原因：为适应新形势购置新装备，另外阶段性案件增加。</w:t>
      </w:r>
    </w:p>
    <w:p w14:paraId="6BDB04D2">
      <w:pPr>
        <w:keepNext w:val="0"/>
        <w:keepLines w:val="0"/>
        <w:pageBreakBefore w:val="0"/>
        <w:kinsoku/>
        <w:wordWrap/>
        <w:overflowPunct/>
        <w:topLinePunct w:val="0"/>
        <w:autoSpaceDN/>
        <w:bidi w:val="0"/>
        <w:adjustRightInd/>
        <w:snapToGrid/>
        <w:spacing w:line="560" w:lineRule="exact"/>
        <w:ind w:firstLine="643" w:firstLineChars="200"/>
        <w:jc w:val="both"/>
        <w:textAlignment w:val="auto"/>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w:t>
      </w:r>
      <w:r>
        <w:rPr>
          <w:rFonts w:hint="eastAsia" w:ascii="楷体_GB2312" w:hAnsi="楷体_GB2312" w:eastAsia="楷体_GB2312" w:cs="楷体_GB2312"/>
          <w:b/>
          <w:bCs/>
          <w:kern w:val="0"/>
          <w:sz w:val="32"/>
          <w:szCs w:val="32"/>
          <w:lang w:val="en-US" w:eastAsia="zh-CN"/>
        </w:rPr>
        <w:t>二</w:t>
      </w:r>
      <w:r>
        <w:rPr>
          <w:rFonts w:hint="eastAsia" w:ascii="楷体_GB2312" w:hAnsi="楷体_GB2312" w:eastAsia="楷体_GB2312" w:cs="楷体_GB2312"/>
          <w:b/>
          <w:bCs/>
          <w:kern w:val="0"/>
          <w:sz w:val="32"/>
          <w:szCs w:val="32"/>
        </w:rPr>
        <w:t>）社会保障和就业支出（类）</w:t>
      </w:r>
    </w:p>
    <w:p w14:paraId="106C04CF">
      <w:pPr>
        <w:keepNext w:val="0"/>
        <w:keepLines w:val="0"/>
        <w:pageBreakBefore w:val="0"/>
        <w:kinsoku/>
        <w:wordWrap/>
        <w:overflowPunct/>
        <w:topLinePunct w:val="0"/>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社会保障和就业支出类决算数为</w:t>
      </w:r>
      <w:r>
        <w:rPr>
          <w:rFonts w:hint="eastAsia" w:eastAsia="仿宋_GB2312"/>
          <w:kern w:val="0"/>
          <w:sz w:val="32"/>
          <w:szCs w:val="32"/>
        </w:rPr>
        <w:t>184.56</w:t>
      </w:r>
      <w:r>
        <w:rPr>
          <w:rFonts w:hint="eastAsia" w:ascii="仿宋_GB2312" w:hAnsi="仿宋_GB2312" w:eastAsia="仿宋_GB2312" w:cs="仿宋_GB2312"/>
          <w:kern w:val="0"/>
          <w:sz w:val="32"/>
          <w:szCs w:val="32"/>
        </w:rPr>
        <w:t>万元，与年初预算相比减少</w:t>
      </w:r>
      <w:r>
        <w:rPr>
          <w:rFonts w:hint="eastAsia" w:eastAsia="仿宋_GB2312"/>
          <w:kern w:val="0"/>
          <w:sz w:val="32"/>
          <w:szCs w:val="32"/>
        </w:rPr>
        <w:t>9.19</w:t>
      </w:r>
      <w:r>
        <w:rPr>
          <w:rFonts w:hint="eastAsia" w:ascii="仿宋_GB2312" w:hAnsi="仿宋_GB2312" w:eastAsia="仿宋_GB2312" w:cs="仿宋_GB2312"/>
          <w:kern w:val="0"/>
          <w:sz w:val="32"/>
          <w:szCs w:val="32"/>
        </w:rPr>
        <w:t>万元。其中：</w:t>
      </w:r>
    </w:p>
    <w:p w14:paraId="6C636BB6">
      <w:pPr>
        <w:keepNext w:val="0"/>
        <w:keepLines w:val="0"/>
        <w:pageBreakBefore w:val="0"/>
        <w:kinsoku/>
        <w:wordWrap/>
        <w:overflowPunct/>
        <w:topLinePunct w:val="0"/>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行政事业单位养老支出（款）行政单位离退休（项）。年初预算</w:t>
      </w:r>
      <w:r>
        <w:rPr>
          <w:rFonts w:hint="eastAsia" w:eastAsia="仿宋_GB2312"/>
          <w:kern w:val="0"/>
          <w:sz w:val="32"/>
          <w:szCs w:val="32"/>
        </w:rPr>
        <w:t>48.53</w:t>
      </w:r>
      <w:r>
        <w:rPr>
          <w:rFonts w:hint="eastAsia" w:ascii="仿宋_GB2312" w:hAnsi="仿宋_GB2312" w:eastAsia="仿宋_GB2312" w:cs="仿宋_GB2312"/>
          <w:kern w:val="0"/>
          <w:sz w:val="32"/>
          <w:szCs w:val="32"/>
        </w:rPr>
        <w:t>万元，支出决算</w:t>
      </w:r>
      <w:r>
        <w:rPr>
          <w:rFonts w:hint="eastAsia" w:eastAsia="仿宋_GB2312"/>
          <w:kern w:val="0"/>
          <w:sz w:val="32"/>
          <w:szCs w:val="32"/>
        </w:rPr>
        <w:t>32.92</w:t>
      </w:r>
      <w:r>
        <w:rPr>
          <w:rFonts w:hint="eastAsia" w:ascii="仿宋_GB2312" w:hAnsi="仿宋_GB2312" w:eastAsia="仿宋_GB2312" w:cs="仿宋_GB2312"/>
          <w:kern w:val="0"/>
          <w:sz w:val="32"/>
          <w:szCs w:val="32"/>
        </w:rPr>
        <w:t>万元，完成年初预算的67.83%。决算数与年初预算数的差异原因：退休人员减少，费用相对减少。</w:t>
      </w:r>
    </w:p>
    <w:p w14:paraId="48EF33A6">
      <w:pPr>
        <w:keepNext w:val="0"/>
        <w:keepLines w:val="0"/>
        <w:pageBreakBefore w:val="0"/>
        <w:kinsoku/>
        <w:wordWrap/>
        <w:overflowPunct/>
        <w:topLinePunct w:val="0"/>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行政事业单位养老支出（款）机关事业单位基本养老保险缴费支出（项）。年初预算</w:t>
      </w:r>
      <w:r>
        <w:rPr>
          <w:rFonts w:hint="eastAsia" w:eastAsia="仿宋_GB2312"/>
          <w:kern w:val="0"/>
          <w:sz w:val="32"/>
          <w:szCs w:val="32"/>
        </w:rPr>
        <w:t>96.81</w:t>
      </w:r>
      <w:r>
        <w:rPr>
          <w:rFonts w:hint="eastAsia" w:ascii="仿宋_GB2312" w:hAnsi="仿宋_GB2312" w:eastAsia="仿宋_GB2312" w:cs="仿宋_GB2312"/>
          <w:kern w:val="0"/>
          <w:sz w:val="32"/>
          <w:szCs w:val="32"/>
        </w:rPr>
        <w:t>万元，支出决算</w:t>
      </w:r>
      <w:r>
        <w:rPr>
          <w:rFonts w:hint="eastAsia" w:eastAsia="仿宋_GB2312"/>
          <w:kern w:val="0"/>
          <w:sz w:val="32"/>
          <w:szCs w:val="32"/>
        </w:rPr>
        <w:t>101.10</w:t>
      </w:r>
      <w:r>
        <w:rPr>
          <w:rFonts w:hint="eastAsia" w:ascii="仿宋_GB2312" w:hAnsi="仿宋_GB2312" w:eastAsia="仿宋_GB2312" w:cs="仿宋_GB2312"/>
          <w:kern w:val="0"/>
          <w:sz w:val="32"/>
          <w:szCs w:val="32"/>
        </w:rPr>
        <w:t>万元，完成年初预算的104.43%。决算数与年初预算数的差异原因：人员工资的调整，社会保障和就业支出基数调整。</w:t>
      </w:r>
    </w:p>
    <w:p w14:paraId="56842089">
      <w:pPr>
        <w:keepNext w:val="0"/>
        <w:keepLines w:val="0"/>
        <w:pageBreakBefore w:val="0"/>
        <w:kinsoku/>
        <w:wordWrap/>
        <w:overflowPunct/>
        <w:topLinePunct w:val="0"/>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行政事业单位养老支出（款）机关事业单位职业年金缴费支出（项）。年初预算</w:t>
      </w:r>
      <w:r>
        <w:rPr>
          <w:rFonts w:hint="eastAsia" w:eastAsia="仿宋_GB2312"/>
          <w:kern w:val="0"/>
          <w:sz w:val="32"/>
          <w:szCs w:val="32"/>
        </w:rPr>
        <w:t>48.41</w:t>
      </w:r>
      <w:r>
        <w:rPr>
          <w:rFonts w:hint="eastAsia" w:ascii="仿宋_GB2312" w:hAnsi="仿宋_GB2312" w:eastAsia="仿宋_GB2312" w:cs="仿宋_GB2312"/>
          <w:kern w:val="0"/>
          <w:sz w:val="32"/>
          <w:szCs w:val="32"/>
        </w:rPr>
        <w:t>万元，支出决算</w:t>
      </w:r>
      <w:r>
        <w:rPr>
          <w:rFonts w:hint="eastAsia" w:eastAsia="仿宋_GB2312"/>
          <w:kern w:val="0"/>
          <w:sz w:val="32"/>
          <w:szCs w:val="32"/>
        </w:rPr>
        <w:t>50.55</w:t>
      </w:r>
      <w:r>
        <w:rPr>
          <w:rFonts w:hint="eastAsia" w:ascii="仿宋_GB2312" w:hAnsi="仿宋_GB2312" w:eastAsia="仿宋_GB2312" w:cs="仿宋_GB2312"/>
          <w:kern w:val="0"/>
          <w:sz w:val="32"/>
          <w:szCs w:val="32"/>
        </w:rPr>
        <w:t>万元，完成年初预算的104.42%。决算数与年初预算数</w:t>
      </w:r>
      <w:r>
        <w:rPr>
          <w:rFonts w:hint="eastAsia" w:ascii="仿宋_GB2312" w:hAnsi="仿宋_GB2312" w:eastAsia="仿宋_GB2312" w:cs="仿宋_GB2312"/>
          <w:kern w:val="0"/>
          <w:sz w:val="32"/>
          <w:szCs w:val="32"/>
          <w:lang w:val="en-US" w:eastAsia="zh-CN"/>
        </w:rPr>
        <w:t>的</w:t>
      </w:r>
      <w:r>
        <w:rPr>
          <w:rFonts w:hint="eastAsia" w:ascii="仿宋_GB2312" w:hAnsi="仿宋_GB2312" w:eastAsia="仿宋_GB2312" w:cs="仿宋_GB2312"/>
          <w:kern w:val="0"/>
          <w:sz w:val="32"/>
          <w:szCs w:val="32"/>
        </w:rPr>
        <w:t>差异原因：人员工资的调整，职业年金基数调整。</w:t>
      </w:r>
    </w:p>
    <w:p w14:paraId="3959CB78">
      <w:pPr>
        <w:keepNext w:val="0"/>
        <w:keepLines w:val="0"/>
        <w:pageBreakBefore w:val="0"/>
        <w:kinsoku/>
        <w:wordWrap/>
        <w:overflowPunct/>
        <w:topLinePunct w:val="0"/>
        <w:autoSpaceDN/>
        <w:bidi w:val="0"/>
        <w:adjustRightInd/>
        <w:snapToGrid/>
        <w:spacing w:line="560" w:lineRule="exact"/>
        <w:ind w:firstLine="643" w:firstLineChars="200"/>
        <w:jc w:val="both"/>
        <w:textAlignment w:val="auto"/>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w:t>
      </w:r>
      <w:r>
        <w:rPr>
          <w:rFonts w:hint="eastAsia" w:ascii="楷体_GB2312" w:hAnsi="楷体_GB2312" w:eastAsia="楷体_GB2312" w:cs="楷体_GB2312"/>
          <w:b/>
          <w:bCs/>
          <w:kern w:val="0"/>
          <w:sz w:val="32"/>
          <w:szCs w:val="32"/>
          <w:lang w:val="en-US" w:eastAsia="zh-CN"/>
        </w:rPr>
        <w:t>三</w:t>
      </w:r>
      <w:r>
        <w:rPr>
          <w:rFonts w:hint="eastAsia" w:ascii="楷体_GB2312" w:hAnsi="楷体_GB2312" w:eastAsia="楷体_GB2312" w:cs="楷体_GB2312"/>
          <w:b/>
          <w:bCs/>
          <w:kern w:val="0"/>
          <w:sz w:val="32"/>
          <w:szCs w:val="32"/>
        </w:rPr>
        <w:t>）卫生健康支出（类）</w:t>
      </w:r>
    </w:p>
    <w:p w14:paraId="626C4EEE">
      <w:pPr>
        <w:keepNext w:val="0"/>
        <w:keepLines w:val="0"/>
        <w:pageBreakBefore w:val="0"/>
        <w:kinsoku/>
        <w:wordWrap/>
        <w:overflowPunct/>
        <w:topLinePunct w:val="0"/>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卫生健康支出类决算数为</w:t>
      </w:r>
      <w:r>
        <w:rPr>
          <w:rFonts w:hint="eastAsia" w:eastAsia="仿宋_GB2312"/>
          <w:kern w:val="0"/>
          <w:sz w:val="32"/>
          <w:szCs w:val="32"/>
        </w:rPr>
        <w:t>102.53</w:t>
      </w:r>
      <w:r>
        <w:rPr>
          <w:rFonts w:hint="eastAsia" w:ascii="仿宋_GB2312" w:hAnsi="仿宋_GB2312" w:eastAsia="仿宋_GB2312" w:cs="仿宋_GB2312"/>
          <w:kern w:val="0"/>
          <w:sz w:val="32"/>
          <w:szCs w:val="32"/>
        </w:rPr>
        <w:t>万元，与年初预算相比增加</w:t>
      </w:r>
      <w:r>
        <w:rPr>
          <w:rFonts w:hint="eastAsia" w:eastAsia="仿宋_GB2312"/>
          <w:kern w:val="0"/>
          <w:sz w:val="32"/>
          <w:szCs w:val="32"/>
        </w:rPr>
        <w:t>0.04</w:t>
      </w:r>
      <w:r>
        <w:rPr>
          <w:rFonts w:hint="eastAsia" w:ascii="仿宋_GB2312" w:hAnsi="仿宋_GB2312" w:eastAsia="仿宋_GB2312" w:cs="仿宋_GB2312"/>
          <w:kern w:val="0"/>
          <w:sz w:val="32"/>
          <w:szCs w:val="32"/>
        </w:rPr>
        <w:t>万元。其中：</w:t>
      </w:r>
    </w:p>
    <w:p w14:paraId="6675FFC9">
      <w:pPr>
        <w:keepNext w:val="0"/>
        <w:keepLines w:val="0"/>
        <w:pageBreakBefore w:val="0"/>
        <w:kinsoku/>
        <w:wordWrap/>
        <w:overflowPunct/>
        <w:topLinePunct w:val="0"/>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1.行政事业单位医疗（款）行政单位医疗（项）。年初预算</w:t>
      </w:r>
      <w:r>
        <w:rPr>
          <w:rFonts w:hint="eastAsia" w:eastAsia="仿宋_GB2312"/>
          <w:kern w:val="0"/>
          <w:sz w:val="32"/>
          <w:szCs w:val="32"/>
        </w:rPr>
        <w:t>58.42</w:t>
      </w:r>
      <w:r>
        <w:rPr>
          <w:rFonts w:hint="eastAsia" w:ascii="仿宋_GB2312" w:hAnsi="仿宋_GB2312" w:eastAsia="仿宋_GB2312" w:cs="仿宋_GB2312"/>
          <w:kern w:val="0"/>
          <w:sz w:val="32"/>
          <w:szCs w:val="32"/>
        </w:rPr>
        <w:t>万元，支出决算</w:t>
      </w:r>
      <w:r>
        <w:rPr>
          <w:rFonts w:hint="eastAsia" w:eastAsia="仿宋_GB2312"/>
          <w:kern w:val="0"/>
          <w:sz w:val="32"/>
          <w:szCs w:val="32"/>
        </w:rPr>
        <w:t>68.06</w:t>
      </w:r>
      <w:r>
        <w:rPr>
          <w:rFonts w:hint="eastAsia" w:ascii="仿宋_GB2312" w:hAnsi="仿宋_GB2312" w:eastAsia="仿宋_GB2312" w:cs="仿宋_GB2312"/>
          <w:kern w:val="0"/>
          <w:sz w:val="32"/>
          <w:szCs w:val="32"/>
        </w:rPr>
        <w:t>万元，完成年初预算的116.50%。决算数与年初预算数的差异原因：本年度有新招录人员</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工资调整医保基数相对提高</w:t>
      </w:r>
      <w:r>
        <w:rPr>
          <w:rFonts w:hint="eastAsia" w:ascii="仿宋_GB2312" w:hAnsi="仿宋_GB2312" w:eastAsia="仿宋_GB2312" w:cs="仿宋_GB2312"/>
          <w:kern w:val="0"/>
          <w:sz w:val="32"/>
          <w:szCs w:val="32"/>
        </w:rPr>
        <w:t>。</w:t>
      </w:r>
    </w:p>
    <w:p w14:paraId="4BE801EE">
      <w:pPr>
        <w:keepNext w:val="0"/>
        <w:keepLines w:val="0"/>
        <w:pageBreakBefore w:val="0"/>
        <w:kinsoku/>
        <w:wordWrap/>
        <w:overflowPunct/>
        <w:topLinePunct w:val="0"/>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2.行政事业单位医疗（款）公务员医疗补助（项）。年初预算</w:t>
      </w:r>
      <w:r>
        <w:rPr>
          <w:rFonts w:hint="eastAsia" w:eastAsia="仿宋_GB2312"/>
          <w:kern w:val="0"/>
          <w:sz w:val="32"/>
          <w:szCs w:val="32"/>
        </w:rPr>
        <w:t>44.07</w:t>
      </w:r>
      <w:r>
        <w:rPr>
          <w:rFonts w:hint="eastAsia" w:ascii="仿宋_GB2312" w:hAnsi="仿宋_GB2312" w:eastAsia="仿宋_GB2312" w:cs="仿宋_GB2312"/>
          <w:kern w:val="0"/>
          <w:sz w:val="32"/>
          <w:szCs w:val="32"/>
        </w:rPr>
        <w:t>万元，支出决算</w:t>
      </w:r>
      <w:r>
        <w:rPr>
          <w:rFonts w:hint="eastAsia" w:eastAsia="仿宋_GB2312"/>
          <w:kern w:val="0"/>
          <w:sz w:val="32"/>
          <w:szCs w:val="32"/>
        </w:rPr>
        <w:t>34.46</w:t>
      </w:r>
      <w:r>
        <w:rPr>
          <w:rFonts w:hint="eastAsia" w:ascii="仿宋_GB2312" w:hAnsi="仿宋_GB2312" w:eastAsia="仿宋_GB2312" w:cs="仿宋_GB2312"/>
          <w:kern w:val="0"/>
          <w:sz w:val="32"/>
          <w:szCs w:val="32"/>
        </w:rPr>
        <w:t>万元，完成年初预算的78.19%。决算数与年初预算数的差异原因：退休人员增加，费用相对减少。</w:t>
      </w:r>
    </w:p>
    <w:p w14:paraId="1ACEBE32">
      <w:pPr>
        <w:keepNext w:val="0"/>
        <w:keepLines w:val="0"/>
        <w:pageBreakBefore w:val="0"/>
        <w:kinsoku/>
        <w:wordWrap/>
        <w:overflowPunct/>
        <w:topLinePunct w:val="0"/>
        <w:autoSpaceDN/>
        <w:bidi w:val="0"/>
        <w:adjustRightInd/>
        <w:snapToGrid/>
        <w:spacing w:line="560" w:lineRule="exact"/>
        <w:ind w:firstLine="643" w:firstLineChars="200"/>
        <w:jc w:val="both"/>
        <w:textAlignment w:val="auto"/>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w:t>
      </w:r>
      <w:r>
        <w:rPr>
          <w:rFonts w:hint="eastAsia" w:ascii="楷体_GB2312" w:hAnsi="楷体_GB2312" w:eastAsia="楷体_GB2312" w:cs="楷体_GB2312"/>
          <w:b/>
          <w:bCs/>
          <w:kern w:val="0"/>
          <w:sz w:val="32"/>
          <w:szCs w:val="32"/>
          <w:lang w:val="en-US" w:eastAsia="zh-CN"/>
        </w:rPr>
        <w:t>四</w:t>
      </w:r>
      <w:r>
        <w:rPr>
          <w:rFonts w:hint="eastAsia" w:ascii="楷体_GB2312" w:hAnsi="楷体_GB2312" w:eastAsia="楷体_GB2312" w:cs="楷体_GB2312"/>
          <w:b/>
          <w:bCs/>
          <w:kern w:val="0"/>
          <w:sz w:val="32"/>
          <w:szCs w:val="32"/>
        </w:rPr>
        <w:t>）住房保障支出（类）</w:t>
      </w:r>
    </w:p>
    <w:p w14:paraId="19B30D8F">
      <w:pPr>
        <w:keepNext w:val="0"/>
        <w:keepLines w:val="0"/>
        <w:pageBreakBefore w:val="0"/>
        <w:kinsoku/>
        <w:wordWrap/>
        <w:overflowPunct/>
        <w:topLinePunct w:val="0"/>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住房保障支出类决算数为</w:t>
      </w:r>
      <w:r>
        <w:rPr>
          <w:rFonts w:hint="eastAsia" w:eastAsia="仿宋_GB2312"/>
          <w:kern w:val="0"/>
          <w:sz w:val="32"/>
          <w:szCs w:val="32"/>
        </w:rPr>
        <w:t>119.17</w:t>
      </w:r>
      <w:r>
        <w:rPr>
          <w:rFonts w:hint="eastAsia" w:ascii="仿宋_GB2312" w:hAnsi="仿宋_GB2312" w:eastAsia="仿宋_GB2312" w:cs="仿宋_GB2312"/>
          <w:kern w:val="0"/>
          <w:sz w:val="32"/>
          <w:szCs w:val="32"/>
        </w:rPr>
        <w:t>万元，与年初预算相比减少</w:t>
      </w:r>
      <w:r>
        <w:rPr>
          <w:rFonts w:hint="eastAsia" w:eastAsia="仿宋_GB2312"/>
          <w:kern w:val="0"/>
          <w:sz w:val="32"/>
          <w:szCs w:val="32"/>
        </w:rPr>
        <w:t>4.62</w:t>
      </w:r>
      <w:r>
        <w:rPr>
          <w:rFonts w:hint="eastAsia" w:ascii="仿宋_GB2312" w:hAnsi="仿宋_GB2312" w:eastAsia="仿宋_GB2312" w:cs="仿宋_GB2312"/>
          <w:kern w:val="0"/>
          <w:sz w:val="32"/>
          <w:szCs w:val="32"/>
        </w:rPr>
        <w:t>万元。其中：</w:t>
      </w:r>
    </w:p>
    <w:p w14:paraId="703CA431">
      <w:pPr>
        <w:keepNext w:val="0"/>
        <w:keepLines w:val="0"/>
        <w:pageBreakBefore w:val="0"/>
        <w:kinsoku/>
        <w:wordWrap/>
        <w:overflowPunct/>
        <w:topLinePunct w:val="0"/>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住房改革支出（款）住房公积金（项）。年初预算</w:t>
      </w:r>
      <w:r>
        <w:rPr>
          <w:rFonts w:hint="eastAsia" w:eastAsia="仿宋_GB2312"/>
          <w:kern w:val="0"/>
          <w:sz w:val="32"/>
          <w:szCs w:val="32"/>
        </w:rPr>
        <w:t>123.79</w:t>
      </w:r>
      <w:r>
        <w:rPr>
          <w:rFonts w:hint="eastAsia" w:ascii="仿宋_GB2312" w:hAnsi="仿宋_GB2312" w:eastAsia="仿宋_GB2312" w:cs="仿宋_GB2312"/>
          <w:kern w:val="0"/>
          <w:sz w:val="32"/>
          <w:szCs w:val="32"/>
        </w:rPr>
        <w:t>万元，支出决算</w:t>
      </w:r>
      <w:r>
        <w:rPr>
          <w:rFonts w:hint="eastAsia" w:eastAsia="仿宋_GB2312"/>
          <w:kern w:val="0"/>
          <w:sz w:val="32"/>
          <w:szCs w:val="32"/>
        </w:rPr>
        <w:t>119.17</w:t>
      </w:r>
      <w:r>
        <w:rPr>
          <w:rFonts w:hint="eastAsia" w:ascii="仿宋_GB2312" w:hAnsi="仿宋_GB2312" w:eastAsia="仿宋_GB2312" w:cs="仿宋_GB2312"/>
          <w:kern w:val="0"/>
          <w:sz w:val="32"/>
          <w:szCs w:val="32"/>
        </w:rPr>
        <w:t>万元，完成年初预算的96.27%。决算数与年初预算数的差异原因：退休人员增加，费用相对减少。</w:t>
      </w:r>
    </w:p>
    <w:p w14:paraId="2364F194">
      <w:pPr>
        <w:keepNext w:val="0"/>
        <w:keepLines w:val="0"/>
        <w:pageBreakBefore w:val="0"/>
        <w:kinsoku/>
        <w:wordWrap/>
        <w:overflowPunct/>
        <w:topLinePunct w:val="0"/>
        <w:autoSpaceDN/>
        <w:bidi w:val="0"/>
        <w:adjustRightInd/>
        <w:snapToGrid/>
        <w:spacing w:line="560" w:lineRule="exact"/>
        <w:ind w:firstLine="640" w:firstLineChars="200"/>
        <w:jc w:val="both"/>
        <w:textAlignment w:val="auto"/>
        <w:rPr>
          <w:rFonts w:hint="eastAsia" w:ascii="黑体" w:hAnsi="黑体" w:eastAsia="黑体" w:cs="黑体"/>
          <w:kern w:val="0"/>
          <w:sz w:val="32"/>
          <w:szCs w:val="32"/>
        </w:rPr>
      </w:pPr>
      <w:r>
        <w:rPr>
          <w:rFonts w:hint="eastAsia" w:ascii="黑体" w:hAnsi="黑体" w:eastAsia="黑体" w:cs="黑体"/>
          <w:kern w:val="0"/>
          <w:sz w:val="32"/>
          <w:szCs w:val="32"/>
        </w:rPr>
        <w:t>六、一般公共预算财政拨款基本支出决算情况说明</w:t>
      </w:r>
    </w:p>
    <w:p w14:paraId="3F689ECB">
      <w:pPr>
        <w:keepNext w:val="0"/>
        <w:keepLines w:val="0"/>
        <w:pageBreakBefore w:val="0"/>
        <w:kinsoku/>
        <w:wordWrap/>
        <w:overflowPunct/>
        <w:topLinePunct w:val="0"/>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内蒙古大兴安岭森林公安局满归分局2025年度一般公共预算财政拨款基本支出决算</w:t>
      </w:r>
      <w:r>
        <w:rPr>
          <w:rFonts w:hint="eastAsia" w:eastAsia="仿宋_GB2312"/>
          <w:kern w:val="0"/>
          <w:sz w:val="32"/>
          <w:szCs w:val="32"/>
        </w:rPr>
        <w:t>1,662.34</w:t>
      </w:r>
      <w:r>
        <w:rPr>
          <w:rFonts w:hint="eastAsia" w:ascii="仿宋_GB2312" w:hAnsi="仿宋_GB2312" w:eastAsia="仿宋_GB2312" w:cs="仿宋_GB2312"/>
          <w:kern w:val="0"/>
          <w:sz w:val="32"/>
          <w:szCs w:val="32"/>
        </w:rPr>
        <w:t>万元，其中：</w:t>
      </w:r>
    </w:p>
    <w:p w14:paraId="5111291A">
      <w:pPr>
        <w:keepNext w:val="0"/>
        <w:keepLines w:val="0"/>
        <w:pageBreakBefore w:val="0"/>
        <w:widowControl/>
        <w:kinsoku/>
        <w:wordWrap/>
        <w:overflowPunct/>
        <w:topLinePunct w:val="0"/>
        <w:autoSpaceDE w:val="0"/>
        <w:autoSpaceDN/>
        <w:bidi w:val="0"/>
        <w:adjustRightInd/>
        <w:snapToGrid/>
        <w:spacing w:line="560" w:lineRule="exact"/>
        <w:ind w:firstLine="643" w:firstLineChars="200"/>
        <w:jc w:val="both"/>
        <w:textAlignment w:val="auto"/>
        <w:rPr>
          <w:rFonts w:ascii="仿宋_GB2312" w:eastAsia="仿宋_GB2312"/>
          <w:color w:val="000000"/>
          <w:kern w:val="0"/>
          <w:sz w:val="32"/>
          <w:szCs w:val="32"/>
        </w:rPr>
      </w:pPr>
      <w:r>
        <w:rPr>
          <w:rFonts w:hint="eastAsia" w:ascii="楷体_GB2312" w:hAnsi="楷体_GB2312" w:eastAsia="楷体_GB2312" w:cs="楷体_GB2312"/>
          <w:b/>
          <w:bCs/>
          <w:kern w:val="0"/>
          <w:sz w:val="32"/>
          <w:szCs w:val="32"/>
        </w:rPr>
        <w:t>（一）人员经费</w:t>
      </w:r>
      <w:r>
        <w:rPr>
          <w:rFonts w:hint="eastAsia" w:eastAsia="楷体_GB2312"/>
          <w:b/>
          <w:bCs/>
          <w:kern w:val="0"/>
          <w:sz w:val="32"/>
          <w:szCs w:val="32"/>
        </w:rPr>
        <w:t>1,443.92</w:t>
      </w:r>
      <w:r>
        <w:rPr>
          <w:rFonts w:hint="eastAsia" w:ascii="楷体_GB2312" w:hAnsi="楷体_GB2312" w:eastAsia="楷体_GB2312" w:cs="楷体_GB2312"/>
          <w:b/>
          <w:bCs/>
          <w:kern w:val="0"/>
          <w:sz w:val="32"/>
          <w:szCs w:val="32"/>
        </w:rPr>
        <w:t>万元。</w:t>
      </w:r>
      <w:r>
        <w:rPr>
          <w:rFonts w:hint="eastAsia" w:ascii="仿宋_GB2312" w:eastAsia="仿宋_GB2312"/>
          <w:color w:val="000000"/>
          <w:kern w:val="0"/>
          <w:sz w:val="32"/>
          <w:szCs w:val="32"/>
        </w:rPr>
        <w:t>主要包括：基本工资</w:t>
      </w:r>
      <w:r>
        <w:rPr>
          <w:rFonts w:hint="eastAsia" w:eastAsia="仿宋_GB2312"/>
          <w:kern w:val="0"/>
          <w:sz w:val="32"/>
          <w:szCs w:val="32"/>
        </w:rPr>
        <w:t>321.85</w:t>
      </w:r>
      <w:r>
        <w:rPr>
          <w:rFonts w:hint="eastAsia" w:ascii="仿宋_GB2312" w:eastAsia="仿宋_GB2312"/>
          <w:color w:val="000000"/>
          <w:kern w:val="0"/>
          <w:sz w:val="32"/>
          <w:szCs w:val="32"/>
        </w:rPr>
        <w:t>万元、津贴补贴</w:t>
      </w:r>
      <w:r>
        <w:rPr>
          <w:rFonts w:hint="eastAsia" w:eastAsia="仿宋_GB2312"/>
          <w:kern w:val="0"/>
          <w:sz w:val="32"/>
          <w:szCs w:val="32"/>
        </w:rPr>
        <w:t>588.39</w:t>
      </w:r>
      <w:r>
        <w:rPr>
          <w:rFonts w:hint="eastAsia" w:ascii="仿宋_GB2312" w:eastAsia="仿宋_GB2312"/>
          <w:color w:val="000000"/>
          <w:kern w:val="0"/>
          <w:sz w:val="32"/>
          <w:szCs w:val="32"/>
        </w:rPr>
        <w:t>万元、奖金</w:t>
      </w:r>
      <w:r>
        <w:rPr>
          <w:rFonts w:hint="eastAsia" w:eastAsia="仿宋_GB2312"/>
          <w:kern w:val="0"/>
          <w:sz w:val="32"/>
          <w:szCs w:val="32"/>
        </w:rPr>
        <w:t>71.70</w:t>
      </w:r>
      <w:r>
        <w:rPr>
          <w:rFonts w:hint="eastAsia" w:ascii="仿宋_GB2312" w:eastAsia="仿宋_GB2312"/>
          <w:color w:val="000000"/>
          <w:kern w:val="0"/>
          <w:sz w:val="32"/>
          <w:szCs w:val="32"/>
        </w:rPr>
        <w:t>万元、机关事业单位基本养老保险缴费</w:t>
      </w:r>
      <w:r>
        <w:rPr>
          <w:rFonts w:hint="eastAsia" w:eastAsia="仿宋_GB2312"/>
          <w:kern w:val="0"/>
          <w:sz w:val="32"/>
          <w:szCs w:val="32"/>
        </w:rPr>
        <w:t>101.10</w:t>
      </w:r>
      <w:r>
        <w:rPr>
          <w:rFonts w:hint="eastAsia" w:ascii="仿宋_GB2312" w:eastAsia="仿宋_GB2312"/>
          <w:color w:val="000000"/>
          <w:kern w:val="0"/>
          <w:sz w:val="32"/>
          <w:szCs w:val="32"/>
        </w:rPr>
        <w:t>万元、职业年金缴费</w:t>
      </w:r>
      <w:r>
        <w:rPr>
          <w:rFonts w:hint="eastAsia" w:eastAsia="仿宋_GB2312"/>
          <w:kern w:val="0"/>
          <w:sz w:val="32"/>
          <w:szCs w:val="32"/>
        </w:rPr>
        <w:t>50.55</w:t>
      </w:r>
      <w:r>
        <w:rPr>
          <w:rFonts w:hint="eastAsia" w:ascii="仿宋_GB2312" w:eastAsia="仿宋_GB2312"/>
          <w:color w:val="000000"/>
          <w:kern w:val="0"/>
          <w:sz w:val="32"/>
          <w:szCs w:val="32"/>
        </w:rPr>
        <w:t>万元、职工基本医疗保险缴费</w:t>
      </w:r>
      <w:r>
        <w:rPr>
          <w:rFonts w:hint="eastAsia" w:eastAsia="仿宋_GB2312"/>
          <w:kern w:val="0"/>
          <w:sz w:val="32"/>
          <w:szCs w:val="32"/>
        </w:rPr>
        <w:t>68.06</w:t>
      </w:r>
      <w:r>
        <w:rPr>
          <w:rFonts w:hint="eastAsia" w:ascii="仿宋_GB2312" w:eastAsia="仿宋_GB2312"/>
          <w:color w:val="000000"/>
          <w:kern w:val="0"/>
          <w:sz w:val="32"/>
          <w:szCs w:val="32"/>
        </w:rPr>
        <w:t>万元、公务员医疗补助缴费</w:t>
      </w:r>
      <w:r>
        <w:rPr>
          <w:rFonts w:hint="eastAsia" w:eastAsia="仿宋_GB2312"/>
          <w:kern w:val="0"/>
          <w:sz w:val="32"/>
          <w:szCs w:val="32"/>
        </w:rPr>
        <w:t>34.46</w:t>
      </w:r>
      <w:r>
        <w:rPr>
          <w:rFonts w:hint="eastAsia" w:ascii="仿宋_GB2312" w:eastAsia="仿宋_GB2312"/>
          <w:color w:val="000000"/>
          <w:kern w:val="0"/>
          <w:sz w:val="32"/>
          <w:szCs w:val="32"/>
        </w:rPr>
        <w:t>万元、其他社会保障缴费</w:t>
      </w:r>
      <w:r>
        <w:rPr>
          <w:rFonts w:hint="eastAsia" w:eastAsia="仿宋_GB2312"/>
          <w:kern w:val="0"/>
          <w:sz w:val="32"/>
          <w:szCs w:val="32"/>
        </w:rPr>
        <w:t>2.12</w:t>
      </w:r>
      <w:r>
        <w:rPr>
          <w:rFonts w:hint="eastAsia" w:ascii="仿宋_GB2312" w:eastAsia="仿宋_GB2312"/>
          <w:color w:val="000000"/>
          <w:kern w:val="0"/>
          <w:sz w:val="32"/>
          <w:szCs w:val="32"/>
        </w:rPr>
        <w:t>万元、住房公积金</w:t>
      </w:r>
      <w:r>
        <w:rPr>
          <w:rFonts w:hint="eastAsia" w:eastAsia="仿宋_GB2312"/>
          <w:kern w:val="0"/>
          <w:sz w:val="32"/>
          <w:szCs w:val="32"/>
        </w:rPr>
        <w:t>119.17</w:t>
      </w:r>
      <w:r>
        <w:rPr>
          <w:rFonts w:hint="eastAsia" w:ascii="仿宋_GB2312" w:eastAsia="仿宋_GB2312"/>
          <w:color w:val="000000"/>
          <w:kern w:val="0"/>
          <w:sz w:val="32"/>
          <w:szCs w:val="32"/>
        </w:rPr>
        <w:t>万元、其他工资福利支出</w:t>
      </w:r>
      <w:r>
        <w:rPr>
          <w:rFonts w:hint="eastAsia" w:eastAsia="仿宋_GB2312"/>
          <w:kern w:val="0"/>
          <w:sz w:val="32"/>
          <w:szCs w:val="32"/>
        </w:rPr>
        <w:t>53.61</w:t>
      </w:r>
      <w:r>
        <w:rPr>
          <w:rFonts w:hint="eastAsia" w:ascii="仿宋_GB2312" w:eastAsia="仿宋_GB2312"/>
          <w:color w:val="000000"/>
          <w:kern w:val="0"/>
          <w:sz w:val="32"/>
          <w:szCs w:val="32"/>
        </w:rPr>
        <w:t>万元、退休费</w:t>
      </w:r>
      <w:r>
        <w:rPr>
          <w:rFonts w:hint="eastAsia" w:eastAsia="仿宋_GB2312"/>
          <w:kern w:val="0"/>
          <w:sz w:val="32"/>
          <w:szCs w:val="32"/>
        </w:rPr>
        <w:t>32.92</w:t>
      </w:r>
      <w:r>
        <w:rPr>
          <w:rFonts w:hint="eastAsia" w:ascii="仿宋_GB2312" w:eastAsia="仿宋_GB2312"/>
          <w:color w:val="000000"/>
          <w:kern w:val="0"/>
          <w:sz w:val="32"/>
          <w:szCs w:val="32"/>
        </w:rPr>
        <w:t>万元。</w:t>
      </w:r>
    </w:p>
    <w:p w14:paraId="57B991F7">
      <w:pPr>
        <w:keepNext w:val="0"/>
        <w:keepLines w:val="0"/>
        <w:pageBreakBefore w:val="0"/>
        <w:widowControl/>
        <w:kinsoku/>
        <w:wordWrap/>
        <w:overflowPunct/>
        <w:topLinePunct w:val="0"/>
        <w:autoSpaceDE w:val="0"/>
        <w:autoSpaceDN/>
        <w:bidi w:val="0"/>
        <w:adjustRightInd/>
        <w:snapToGrid/>
        <w:spacing w:line="560" w:lineRule="exact"/>
        <w:ind w:firstLine="643" w:firstLineChars="200"/>
        <w:jc w:val="both"/>
        <w:textAlignment w:val="auto"/>
        <w:rPr>
          <w:kern w:val="0"/>
          <w:sz w:val="32"/>
          <w:szCs w:val="32"/>
        </w:rPr>
      </w:pPr>
      <w:r>
        <w:rPr>
          <w:rFonts w:hint="eastAsia" w:ascii="楷体_GB2312" w:hAnsi="楷体_GB2312" w:eastAsia="楷体_GB2312" w:cs="楷体_GB2312"/>
          <w:b/>
          <w:bCs/>
          <w:kern w:val="0"/>
          <w:sz w:val="32"/>
          <w:szCs w:val="32"/>
        </w:rPr>
        <w:t>（二）公用经费</w:t>
      </w:r>
      <w:r>
        <w:rPr>
          <w:rFonts w:hint="eastAsia" w:eastAsia="楷体_GB2312"/>
          <w:b/>
          <w:bCs/>
          <w:kern w:val="0"/>
          <w:sz w:val="32"/>
          <w:szCs w:val="32"/>
        </w:rPr>
        <w:t>218.42</w:t>
      </w:r>
      <w:r>
        <w:rPr>
          <w:rFonts w:hint="eastAsia" w:ascii="楷体_GB2312" w:hAnsi="楷体_GB2312" w:eastAsia="楷体_GB2312" w:cs="楷体_GB2312"/>
          <w:b/>
          <w:bCs/>
          <w:kern w:val="0"/>
          <w:sz w:val="32"/>
          <w:szCs w:val="32"/>
        </w:rPr>
        <w:t>万元。</w:t>
      </w:r>
      <w:r>
        <w:rPr>
          <w:rFonts w:hint="eastAsia" w:ascii="仿宋_GB2312" w:eastAsia="仿宋_GB2312"/>
          <w:color w:val="000000"/>
          <w:kern w:val="0"/>
          <w:sz w:val="32"/>
          <w:szCs w:val="32"/>
        </w:rPr>
        <w:t>主要包括：办公费</w:t>
      </w:r>
      <w:r>
        <w:rPr>
          <w:rFonts w:hint="eastAsia" w:eastAsia="仿宋_GB2312"/>
          <w:kern w:val="0"/>
          <w:sz w:val="32"/>
          <w:szCs w:val="32"/>
        </w:rPr>
        <w:t>4.89</w:t>
      </w:r>
      <w:r>
        <w:rPr>
          <w:rFonts w:hint="eastAsia" w:ascii="仿宋_GB2312" w:eastAsia="仿宋_GB2312"/>
          <w:color w:val="000000"/>
          <w:kern w:val="0"/>
          <w:sz w:val="32"/>
          <w:szCs w:val="32"/>
        </w:rPr>
        <w:t>万元、印刷费</w:t>
      </w:r>
      <w:r>
        <w:rPr>
          <w:rFonts w:hint="eastAsia" w:eastAsia="仿宋_GB2312"/>
          <w:kern w:val="0"/>
          <w:sz w:val="32"/>
          <w:szCs w:val="32"/>
        </w:rPr>
        <w:t>0.20</w:t>
      </w:r>
      <w:r>
        <w:rPr>
          <w:rFonts w:hint="eastAsia" w:ascii="仿宋_GB2312" w:eastAsia="仿宋_GB2312"/>
          <w:color w:val="000000"/>
          <w:kern w:val="0"/>
          <w:sz w:val="32"/>
          <w:szCs w:val="32"/>
        </w:rPr>
        <w:t>万元、手续费</w:t>
      </w:r>
      <w:r>
        <w:rPr>
          <w:rFonts w:hint="eastAsia" w:eastAsia="仿宋_GB2312"/>
          <w:kern w:val="0"/>
          <w:sz w:val="32"/>
          <w:szCs w:val="32"/>
        </w:rPr>
        <w:t>0.10</w:t>
      </w:r>
      <w:r>
        <w:rPr>
          <w:rFonts w:hint="eastAsia" w:ascii="仿宋_GB2312" w:eastAsia="仿宋_GB2312"/>
          <w:color w:val="000000"/>
          <w:kern w:val="0"/>
          <w:sz w:val="32"/>
          <w:szCs w:val="32"/>
        </w:rPr>
        <w:t>万元、水费</w:t>
      </w:r>
      <w:r>
        <w:rPr>
          <w:rFonts w:hint="eastAsia" w:eastAsia="仿宋_GB2312"/>
          <w:kern w:val="0"/>
          <w:sz w:val="32"/>
          <w:szCs w:val="32"/>
        </w:rPr>
        <w:t>0.20</w:t>
      </w:r>
      <w:r>
        <w:rPr>
          <w:rFonts w:hint="eastAsia" w:ascii="仿宋_GB2312" w:eastAsia="仿宋_GB2312"/>
          <w:color w:val="000000"/>
          <w:kern w:val="0"/>
          <w:sz w:val="32"/>
          <w:szCs w:val="32"/>
        </w:rPr>
        <w:t>万元、电费3.70万元、邮电费</w:t>
      </w:r>
      <w:r>
        <w:rPr>
          <w:rFonts w:hint="eastAsia" w:eastAsia="仿宋_GB2312"/>
          <w:kern w:val="0"/>
          <w:sz w:val="32"/>
          <w:szCs w:val="32"/>
        </w:rPr>
        <w:t>1.00</w:t>
      </w:r>
      <w:r>
        <w:rPr>
          <w:rFonts w:hint="eastAsia" w:ascii="仿宋_GB2312" w:eastAsia="仿宋_GB2312"/>
          <w:color w:val="000000"/>
          <w:kern w:val="0"/>
          <w:sz w:val="32"/>
          <w:szCs w:val="32"/>
        </w:rPr>
        <w:t>万元、取暖费</w:t>
      </w:r>
      <w:r>
        <w:rPr>
          <w:rFonts w:hint="eastAsia" w:eastAsia="仿宋_GB2312"/>
          <w:kern w:val="0"/>
          <w:sz w:val="32"/>
          <w:szCs w:val="32"/>
        </w:rPr>
        <w:t>35.00</w:t>
      </w:r>
      <w:r>
        <w:rPr>
          <w:rFonts w:hint="eastAsia" w:ascii="仿宋_GB2312" w:eastAsia="仿宋_GB2312"/>
          <w:color w:val="000000"/>
          <w:kern w:val="0"/>
          <w:sz w:val="32"/>
          <w:szCs w:val="32"/>
        </w:rPr>
        <w:t>万元、差旅费</w:t>
      </w:r>
      <w:r>
        <w:rPr>
          <w:rFonts w:hint="eastAsia" w:eastAsia="仿宋_GB2312"/>
          <w:kern w:val="0"/>
          <w:sz w:val="32"/>
          <w:szCs w:val="32"/>
        </w:rPr>
        <w:t>10.53</w:t>
      </w:r>
      <w:r>
        <w:rPr>
          <w:rFonts w:hint="eastAsia" w:ascii="仿宋_GB2312" w:eastAsia="仿宋_GB2312"/>
          <w:color w:val="000000"/>
          <w:kern w:val="0"/>
          <w:sz w:val="32"/>
          <w:szCs w:val="32"/>
        </w:rPr>
        <w:t>万元、维修（护）费</w:t>
      </w:r>
      <w:r>
        <w:rPr>
          <w:rFonts w:hint="eastAsia" w:eastAsia="仿宋_GB2312"/>
          <w:kern w:val="0"/>
          <w:sz w:val="32"/>
          <w:szCs w:val="32"/>
        </w:rPr>
        <w:t>16.60</w:t>
      </w:r>
      <w:r>
        <w:rPr>
          <w:rFonts w:hint="eastAsia" w:ascii="仿宋_GB2312" w:eastAsia="仿宋_GB2312"/>
          <w:color w:val="000000"/>
          <w:kern w:val="0"/>
          <w:sz w:val="32"/>
          <w:szCs w:val="32"/>
        </w:rPr>
        <w:t>万元、培训费</w:t>
      </w:r>
      <w:r>
        <w:rPr>
          <w:rFonts w:hint="eastAsia" w:eastAsia="仿宋_GB2312"/>
          <w:kern w:val="0"/>
          <w:sz w:val="32"/>
          <w:szCs w:val="32"/>
        </w:rPr>
        <w:t>10.33</w:t>
      </w:r>
      <w:r>
        <w:rPr>
          <w:rFonts w:hint="eastAsia" w:ascii="仿宋_GB2312" w:eastAsia="仿宋_GB2312"/>
          <w:color w:val="000000"/>
          <w:kern w:val="0"/>
          <w:sz w:val="32"/>
          <w:szCs w:val="32"/>
        </w:rPr>
        <w:t>万元、专用材料费</w:t>
      </w:r>
      <w:r>
        <w:rPr>
          <w:rFonts w:hint="eastAsia" w:eastAsia="仿宋_GB2312"/>
          <w:kern w:val="0"/>
          <w:sz w:val="32"/>
          <w:szCs w:val="32"/>
        </w:rPr>
        <w:t>36.27</w:t>
      </w:r>
      <w:r>
        <w:rPr>
          <w:rFonts w:hint="eastAsia" w:ascii="仿宋_GB2312" w:eastAsia="仿宋_GB2312"/>
          <w:color w:val="000000"/>
          <w:kern w:val="0"/>
          <w:sz w:val="32"/>
          <w:szCs w:val="32"/>
        </w:rPr>
        <w:t>万元、劳务费</w:t>
      </w:r>
      <w:r>
        <w:rPr>
          <w:rFonts w:hint="eastAsia" w:eastAsia="仿宋_GB2312"/>
          <w:kern w:val="0"/>
          <w:sz w:val="32"/>
          <w:szCs w:val="32"/>
        </w:rPr>
        <w:t>6.42</w:t>
      </w:r>
      <w:r>
        <w:rPr>
          <w:rFonts w:hint="eastAsia" w:ascii="仿宋_GB2312" w:eastAsia="仿宋_GB2312"/>
          <w:color w:val="000000"/>
          <w:kern w:val="0"/>
          <w:sz w:val="32"/>
          <w:szCs w:val="32"/>
        </w:rPr>
        <w:t>万元、工会经费</w:t>
      </w:r>
      <w:r>
        <w:rPr>
          <w:rFonts w:hint="eastAsia" w:eastAsia="仿宋_GB2312"/>
          <w:kern w:val="0"/>
          <w:sz w:val="32"/>
          <w:szCs w:val="32"/>
        </w:rPr>
        <w:t>15.14</w:t>
      </w:r>
      <w:r>
        <w:rPr>
          <w:rFonts w:hint="eastAsia" w:ascii="仿宋_GB2312" w:eastAsia="仿宋_GB2312"/>
          <w:color w:val="000000"/>
          <w:kern w:val="0"/>
          <w:sz w:val="32"/>
          <w:szCs w:val="32"/>
        </w:rPr>
        <w:t>万元、福利费</w:t>
      </w:r>
      <w:r>
        <w:rPr>
          <w:rFonts w:hint="eastAsia" w:eastAsia="仿宋_GB2312"/>
          <w:kern w:val="0"/>
          <w:sz w:val="32"/>
          <w:szCs w:val="32"/>
        </w:rPr>
        <w:t>19.65</w:t>
      </w:r>
      <w:r>
        <w:rPr>
          <w:rFonts w:hint="eastAsia" w:ascii="仿宋_GB2312" w:eastAsia="仿宋_GB2312"/>
          <w:color w:val="000000"/>
          <w:kern w:val="0"/>
          <w:sz w:val="32"/>
          <w:szCs w:val="32"/>
        </w:rPr>
        <w:t>万元、其他交通费用</w:t>
      </w:r>
      <w:r>
        <w:rPr>
          <w:rFonts w:hint="eastAsia" w:eastAsia="仿宋_GB2312"/>
          <w:kern w:val="0"/>
          <w:sz w:val="32"/>
          <w:szCs w:val="32"/>
        </w:rPr>
        <w:t>48.56</w:t>
      </w:r>
      <w:r>
        <w:rPr>
          <w:rFonts w:hint="eastAsia" w:ascii="仿宋_GB2312" w:eastAsia="仿宋_GB2312"/>
          <w:color w:val="000000"/>
          <w:kern w:val="0"/>
          <w:sz w:val="32"/>
          <w:szCs w:val="32"/>
        </w:rPr>
        <w:t>万元、其他商品和服务支出</w:t>
      </w:r>
      <w:r>
        <w:rPr>
          <w:rFonts w:hint="eastAsia" w:eastAsia="仿宋_GB2312"/>
          <w:kern w:val="0"/>
          <w:sz w:val="32"/>
          <w:szCs w:val="32"/>
        </w:rPr>
        <w:t>8.50</w:t>
      </w:r>
      <w:r>
        <w:rPr>
          <w:rFonts w:hint="eastAsia" w:ascii="仿宋_GB2312" w:eastAsia="仿宋_GB2312"/>
          <w:color w:val="000000"/>
          <w:kern w:val="0"/>
          <w:sz w:val="32"/>
          <w:szCs w:val="32"/>
        </w:rPr>
        <w:t>万元、办公设备购置</w:t>
      </w:r>
      <w:r>
        <w:rPr>
          <w:rFonts w:hint="eastAsia" w:eastAsia="仿宋_GB2312"/>
          <w:kern w:val="0"/>
          <w:sz w:val="32"/>
          <w:szCs w:val="32"/>
        </w:rPr>
        <w:t>1.35</w:t>
      </w:r>
      <w:r>
        <w:rPr>
          <w:rFonts w:hint="eastAsia" w:ascii="仿宋_GB2312" w:eastAsia="仿宋_GB2312"/>
          <w:color w:val="000000"/>
          <w:kern w:val="0"/>
          <w:sz w:val="32"/>
          <w:szCs w:val="32"/>
        </w:rPr>
        <w:t>万元。</w:t>
      </w:r>
    </w:p>
    <w:p w14:paraId="44C2630E">
      <w:pPr>
        <w:keepNext w:val="0"/>
        <w:keepLines w:val="0"/>
        <w:pageBreakBefore w:val="0"/>
        <w:widowControl/>
        <w:kinsoku/>
        <w:wordWrap/>
        <w:overflowPunct/>
        <w:topLinePunct w:val="0"/>
        <w:autoSpaceDN/>
        <w:bidi w:val="0"/>
        <w:adjustRightInd/>
        <w:snapToGrid/>
        <w:spacing w:line="560" w:lineRule="exact"/>
        <w:ind w:firstLine="640" w:firstLineChars="200"/>
        <w:jc w:val="both"/>
        <w:textAlignment w:val="auto"/>
        <w:rPr>
          <w:rFonts w:hint="eastAsia" w:ascii="黑体" w:hAnsi="黑体" w:eastAsia="黑体" w:cs="黑体"/>
          <w:kern w:val="0"/>
          <w:sz w:val="32"/>
          <w:szCs w:val="32"/>
        </w:rPr>
      </w:pPr>
      <w:r>
        <w:rPr>
          <w:rFonts w:hint="eastAsia" w:ascii="黑体" w:hAnsi="黑体" w:eastAsia="黑体" w:cs="黑体"/>
          <w:kern w:val="0"/>
          <w:sz w:val="32"/>
          <w:szCs w:val="32"/>
        </w:rPr>
        <w:t>七、一般公共预算财政拨款项目支出决算情况说明</w:t>
      </w:r>
    </w:p>
    <w:p w14:paraId="531677E4">
      <w:pPr>
        <w:keepNext w:val="0"/>
        <w:keepLines w:val="0"/>
        <w:pageBreakBefore w:val="0"/>
        <w:kinsoku/>
        <w:wordWrap/>
        <w:overflowPunct/>
        <w:topLinePunct w:val="0"/>
        <w:autoSpaceDN/>
        <w:bidi w:val="0"/>
        <w:adjustRightInd/>
        <w:snapToGrid/>
        <w:spacing w:line="560" w:lineRule="exact"/>
        <w:ind w:firstLine="640" w:firstLineChars="200"/>
        <w:jc w:val="both"/>
        <w:textAlignment w:val="auto"/>
        <w:rPr>
          <w:rFonts w:hint="eastAsia" w:ascii="楷体_GB2312" w:hAnsi="楷体_GB2312" w:eastAsia="楷体_GB2312" w:cs="楷体_GB2312"/>
          <w:b/>
          <w:bCs/>
          <w:kern w:val="0"/>
          <w:sz w:val="32"/>
          <w:szCs w:val="32"/>
        </w:rPr>
      </w:pPr>
      <w:r>
        <w:rPr>
          <w:rFonts w:hint="eastAsia" w:ascii="仿宋_GB2312" w:hAnsi="仿宋_GB2312" w:eastAsia="仿宋_GB2312" w:cs="仿宋_GB2312"/>
          <w:kern w:val="0"/>
          <w:sz w:val="32"/>
          <w:szCs w:val="32"/>
        </w:rPr>
        <w:t>内蒙古大兴安岭森林公安局满归分局2025年度一般公共预算财政拨款项目支出决算</w:t>
      </w:r>
      <w:r>
        <w:rPr>
          <w:rFonts w:hint="eastAsia" w:eastAsia="仿宋_GB2312"/>
          <w:kern w:val="0"/>
          <w:sz w:val="32"/>
          <w:szCs w:val="32"/>
        </w:rPr>
        <w:t>80.00</w:t>
      </w:r>
      <w:r>
        <w:rPr>
          <w:rFonts w:hint="eastAsia" w:ascii="仿宋_GB2312" w:hAnsi="仿宋_GB2312" w:eastAsia="仿宋_GB2312" w:cs="仿宋_GB2312"/>
          <w:kern w:val="0"/>
          <w:sz w:val="32"/>
          <w:szCs w:val="32"/>
        </w:rPr>
        <w:t>万元，其中：</w:t>
      </w:r>
    </w:p>
    <w:p w14:paraId="5DD3A739">
      <w:pPr>
        <w:keepNext w:val="0"/>
        <w:keepLines w:val="0"/>
        <w:pageBreakBefore w:val="0"/>
        <w:widowControl/>
        <w:kinsoku/>
        <w:wordWrap/>
        <w:overflowPunct/>
        <w:topLinePunct w:val="0"/>
        <w:autoSpaceDE w:val="0"/>
        <w:autoSpaceDN/>
        <w:bidi w:val="0"/>
        <w:adjustRightInd/>
        <w:snapToGrid/>
        <w:spacing w:line="560" w:lineRule="exact"/>
        <w:ind w:firstLine="643" w:firstLineChars="200"/>
        <w:jc w:val="both"/>
        <w:textAlignment w:val="auto"/>
        <w:rPr>
          <w:rFonts w:ascii="仿宋_GB2312" w:eastAsia="仿宋_GB2312"/>
          <w:color w:val="000000"/>
          <w:kern w:val="0"/>
          <w:sz w:val="32"/>
          <w:szCs w:val="32"/>
        </w:rPr>
      </w:pPr>
      <w:r>
        <w:rPr>
          <w:rFonts w:hint="eastAsia" w:ascii="楷体_GB2312" w:hAnsi="楷体_GB2312" w:eastAsia="楷体_GB2312" w:cs="楷体_GB2312"/>
          <w:b/>
          <w:bCs/>
          <w:kern w:val="0"/>
          <w:sz w:val="32"/>
          <w:szCs w:val="32"/>
        </w:rPr>
        <w:t>（</w:t>
      </w:r>
      <w:r>
        <w:rPr>
          <w:rFonts w:hint="eastAsia" w:ascii="楷体_GB2312" w:hAnsi="楷体_GB2312" w:eastAsia="楷体_GB2312" w:cs="楷体_GB2312"/>
          <w:b/>
          <w:bCs/>
          <w:kern w:val="0"/>
          <w:sz w:val="32"/>
          <w:szCs w:val="32"/>
          <w:lang w:val="en-US" w:eastAsia="zh-CN"/>
        </w:rPr>
        <w:t>一</w:t>
      </w:r>
      <w:r>
        <w:rPr>
          <w:rFonts w:hint="eastAsia" w:ascii="楷体_GB2312" w:hAnsi="楷体_GB2312" w:eastAsia="楷体_GB2312" w:cs="楷体_GB2312"/>
          <w:b/>
          <w:bCs/>
          <w:kern w:val="0"/>
          <w:sz w:val="32"/>
          <w:szCs w:val="32"/>
        </w:rPr>
        <w:t>）</w:t>
      </w:r>
      <w:r>
        <w:rPr>
          <w:rFonts w:ascii="楷体_GB2312" w:hAnsi="楷体_GB2312" w:eastAsia="楷体_GB2312" w:cs="楷体_GB2312"/>
          <w:b/>
          <w:bCs/>
          <w:kern w:val="0"/>
          <w:sz w:val="32"/>
          <w:szCs w:val="32"/>
        </w:rPr>
        <w:t>商品和服务支出</w:t>
      </w:r>
      <w:r>
        <w:rPr>
          <w:rFonts w:hint="eastAsia" w:eastAsia="楷体_GB2312"/>
          <w:b/>
          <w:bCs/>
          <w:kern w:val="0"/>
          <w:sz w:val="32"/>
          <w:szCs w:val="32"/>
        </w:rPr>
        <w:t>24.50</w:t>
      </w:r>
      <w:r>
        <w:rPr>
          <w:rFonts w:ascii="楷体_GB2312" w:hAnsi="楷体_GB2312" w:eastAsia="楷体_GB2312" w:cs="楷体_GB2312"/>
          <w:b/>
          <w:bCs/>
          <w:kern w:val="0"/>
          <w:sz w:val="32"/>
          <w:szCs w:val="32"/>
        </w:rPr>
        <w:t>万元。</w:t>
      </w:r>
      <w:r>
        <w:rPr>
          <w:rFonts w:hint="eastAsia" w:ascii="仿宋_GB2312" w:eastAsia="仿宋_GB2312"/>
          <w:color w:val="000000"/>
          <w:kern w:val="0"/>
          <w:sz w:val="32"/>
          <w:szCs w:val="32"/>
        </w:rPr>
        <w:t>主要包括：差旅费</w:t>
      </w:r>
      <w:r>
        <w:rPr>
          <w:rFonts w:hint="eastAsia" w:eastAsia="仿宋_GB2312"/>
          <w:kern w:val="0"/>
          <w:sz w:val="32"/>
          <w:szCs w:val="32"/>
        </w:rPr>
        <w:t>16.02</w:t>
      </w:r>
      <w:r>
        <w:rPr>
          <w:rFonts w:hint="eastAsia" w:ascii="仿宋_GB2312" w:eastAsia="仿宋_GB2312"/>
          <w:color w:val="000000"/>
          <w:kern w:val="0"/>
          <w:sz w:val="32"/>
          <w:szCs w:val="32"/>
        </w:rPr>
        <w:t>万元、租赁费</w:t>
      </w:r>
      <w:r>
        <w:rPr>
          <w:rFonts w:hint="eastAsia" w:eastAsia="仿宋_GB2312"/>
          <w:kern w:val="0"/>
          <w:sz w:val="32"/>
          <w:szCs w:val="32"/>
        </w:rPr>
        <w:t>7.00</w:t>
      </w:r>
      <w:r>
        <w:rPr>
          <w:rFonts w:hint="eastAsia" w:ascii="仿宋_GB2312" w:eastAsia="仿宋_GB2312"/>
          <w:color w:val="000000"/>
          <w:kern w:val="0"/>
          <w:sz w:val="32"/>
          <w:szCs w:val="32"/>
        </w:rPr>
        <w:t>万元、劳务费</w:t>
      </w:r>
      <w:r>
        <w:rPr>
          <w:rFonts w:hint="eastAsia" w:eastAsia="仿宋_GB2312"/>
          <w:kern w:val="0"/>
          <w:sz w:val="32"/>
          <w:szCs w:val="32"/>
        </w:rPr>
        <w:t>1.48</w:t>
      </w:r>
      <w:r>
        <w:rPr>
          <w:rFonts w:hint="eastAsia" w:ascii="仿宋_GB2312" w:eastAsia="仿宋_GB2312"/>
          <w:color w:val="000000"/>
          <w:kern w:val="0"/>
          <w:sz w:val="32"/>
          <w:szCs w:val="32"/>
        </w:rPr>
        <w:t>万元。</w:t>
      </w:r>
    </w:p>
    <w:p w14:paraId="19ED804C">
      <w:pPr>
        <w:keepNext w:val="0"/>
        <w:keepLines w:val="0"/>
        <w:pageBreakBefore w:val="0"/>
        <w:widowControl/>
        <w:kinsoku/>
        <w:wordWrap/>
        <w:overflowPunct/>
        <w:topLinePunct w:val="0"/>
        <w:autoSpaceDN/>
        <w:bidi w:val="0"/>
        <w:adjustRightInd/>
        <w:snapToGrid/>
        <w:spacing w:line="560" w:lineRule="exact"/>
        <w:ind w:firstLine="643" w:firstLineChars="200"/>
        <w:jc w:val="both"/>
        <w:textAlignment w:val="auto"/>
        <w:rPr>
          <w:rFonts w:hint="eastAsia" w:ascii="仿宋_GB2312" w:hAnsi="仿宋_GB2312" w:eastAsia="仿宋_GB2312" w:cs="仿宋_GB2312"/>
          <w:kern w:val="0"/>
          <w:sz w:val="32"/>
          <w:szCs w:val="32"/>
        </w:rPr>
      </w:pPr>
      <w:r>
        <w:rPr>
          <w:rFonts w:hint="eastAsia" w:ascii="楷体_GB2312" w:hAnsi="楷体_GB2312" w:eastAsia="楷体_GB2312" w:cs="楷体_GB2312"/>
          <w:b/>
          <w:bCs/>
          <w:kern w:val="0"/>
          <w:sz w:val="32"/>
          <w:szCs w:val="32"/>
        </w:rPr>
        <w:t>（</w:t>
      </w:r>
      <w:r>
        <w:rPr>
          <w:rFonts w:hint="eastAsia" w:ascii="楷体_GB2312" w:hAnsi="楷体_GB2312" w:eastAsia="楷体_GB2312" w:cs="楷体_GB2312"/>
          <w:b/>
          <w:bCs/>
          <w:kern w:val="0"/>
          <w:sz w:val="32"/>
          <w:szCs w:val="32"/>
          <w:lang w:val="en-US" w:eastAsia="zh-CN"/>
        </w:rPr>
        <w:t>二</w:t>
      </w:r>
      <w:r>
        <w:rPr>
          <w:rFonts w:hint="eastAsia" w:ascii="楷体_GB2312" w:hAnsi="楷体_GB2312" w:eastAsia="楷体_GB2312" w:cs="楷体_GB2312"/>
          <w:b/>
          <w:bCs/>
          <w:kern w:val="0"/>
          <w:sz w:val="32"/>
          <w:szCs w:val="32"/>
        </w:rPr>
        <w:t>）资本性支出</w:t>
      </w:r>
      <w:r>
        <w:rPr>
          <w:rFonts w:hint="eastAsia" w:eastAsia="楷体_GB2312"/>
          <w:b/>
          <w:bCs/>
          <w:kern w:val="0"/>
          <w:sz w:val="32"/>
          <w:szCs w:val="32"/>
        </w:rPr>
        <w:t>55.50</w:t>
      </w:r>
      <w:r>
        <w:rPr>
          <w:rFonts w:hint="eastAsia" w:ascii="楷体_GB2312" w:hAnsi="楷体_GB2312" w:eastAsia="楷体_GB2312" w:cs="楷体_GB2312"/>
          <w:b/>
          <w:bCs/>
          <w:kern w:val="0"/>
          <w:sz w:val="32"/>
          <w:szCs w:val="32"/>
        </w:rPr>
        <w:t>万元。</w:t>
      </w:r>
      <w:r>
        <w:rPr>
          <w:rFonts w:hint="eastAsia" w:ascii="仿宋_GB2312" w:hAnsi="仿宋_GB2312" w:eastAsia="仿宋_GB2312" w:cs="仿宋_GB2312"/>
          <w:kern w:val="0"/>
          <w:sz w:val="32"/>
          <w:szCs w:val="32"/>
        </w:rPr>
        <w:t>主要包括：专用设备购置</w:t>
      </w:r>
      <w:r>
        <w:rPr>
          <w:rFonts w:hint="eastAsia" w:eastAsia="仿宋_GB2312"/>
          <w:kern w:val="0"/>
          <w:sz w:val="32"/>
          <w:szCs w:val="32"/>
        </w:rPr>
        <w:t>28.39</w:t>
      </w:r>
      <w:r>
        <w:rPr>
          <w:rFonts w:hint="eastAsia" w:ascii="仿宋_GB2312" w:hAnsi="仿宋_GB2312" w:eastAsia="仿宋_GB2312" w:cs="仿宋_GB2312"/>
          <w:kern w:val="0"/>
          <w:sz w:val="32"/>
          <w:szCs w:val="32"/>
        </w:rPr>
        <w:t>万元、其他交通工具购置</w:t>
      </w:r>
      <w:r>
        <w:rPr>
          <w:rFonts w:hint="eastAsia" w:eastAsia="仿宋_GB2312"/>
          <w:kern w:val="0"/>
          <w:sz w:val="32"/>
          <w:szCs w:val="32"/>
        </w:rPr>
        <w:t>27.11</w:t>
      </w:r>
      <w:r>
        <w:rPr>
          <w:rFonts w:hint="eastAsia" w:ascii="仿宋_GB2312" w:hAnsi="仿宋_GB2312" w:eastAsia="仿宋_GB2312" w:cs="仿宋_GB2312"/>
          <w:kern w:val="0"/>
          <w:sz w:val="32"/>
          <w:szCs w:val="32"/>
        </w:rPr>
        <w:t>万元。</w:t>
      </w:r>
    </w:p>
    <w:p w14:paraId="14A92CC3">
      <w:pPr>
        <w:keepNext w:val="0"/>
        <w:keepLines w:val="0"/>
        <w:pageBreakBefore w:val="0"/>
        <w:widowControl/>
        <w:kinsoku/>
        <w:wordWrap/>
        <w:overflowPunct/>
        <w:topLinePunct w:val="0"/>
        <w:autoSpaceDN/>
        <w:bidi w:val="0"/>
        <w:adjustRightInd/>
        <w:snapToGrid/>
        <w:spacing w:line="560" w:lineRule="exact"/>
        <w:ind w:firstLine="640" w:firstLineChars="200"/>
        <w:jc w:val="both"/>
        <w:textAlignment w:val="auto"/>
        <w:rPr>
          <w:rFonts w:hint="eastAsia" w:ascii="黑体" w:hAnsi="黑体" w:eastAsia="黑体" w:cs="黑体"/>
          <w:kern w:val="0"/>
          <w:sz w:val="32"/>
          <w:szCs w:val="32"/>
        </w:rPr>
      </w:pPr>
      <w:r>
        <w:rPr>
          <w:rFonts w:hint="eastAsia" w:ascii="黑体" w:hAnsi="黑体" w:eastAsia="黑体" w:cs="黑体"/>
          <w:kern w:val="0"/>
          <w:sz w:val="32"/>
          <w:szCs w:val="32"/>
        </w:rPr>
        <w:t>八、财政拨款“三公”经费支出决算情况说明</w:t>
      </w:r>
    </w:p>
    <w:p w14:paraId="1AA77648">
      <w:pPr>
        <w:keepNext w:val="0"/>
        <w:keepLines w:val="0"/>
        <w:pageBreakBefore w:val="0"/>
        <w:kinsoku/>
        <w:wordWrap/>
        <w:overflowPunct/>
        <w:topLinePunct w:val="0"/>
        <w:autoSpaceDN/>
        <w:bidi w:val="0"/>
        <w:adjustRightInd/>
        <w:snapToGrid/>
        <w:spacing w:line="560" w:lineRule="exact"/>
        <w:ind w:firstLine="643" w:firstLineChars="200"/>
        <w:jc w:val="both"/>
        <w:textAlignment w:val="auto"/>
        <w:rPr>
          <w:rFonts w:ascii="楷体_GB2312" w:hAnsi="楷体_GB2312" w:eastAsia="楷体_GB2312" w:cs="楷体_GB2312"/>
          <w:b/>
          <w:bCs/>
          <w:kern w:val="0"/>
          <w:sz w:val="32"/>
          <w:szCs w:val="32"/>
        </w:rPr>
      </w:pPr>
      <w:r>
        <w:rPr>
          <w:rFonts w:ascii="楷体_GB2312" w:hAnsi="楷体_GB2312" w:eastAsia="楷体_GB2312" w:cs="楷体_GB2312"/>
          <w:b/>
          <w:bCs/>
          <w:kern w:val="0"/>
          <w:sz w:val="32"/>
          <w:szCs w:val="32"/>
        </w:rPr>
        <w:t>（一）财政拨款“三公”经费支出总体情况说明。</w:t>
      </w:r>
    </w:p>
    <w:p w14:paraId="377F6A95">
      <w:pPr>
        <w:keepNext w:val="0"/>
        <w:keepLines w:val="0"/>
        <w:pageBreakBefore w:val="0"/>
        <w:kinsoku/>
        <w:wordWrap/>
        <w:overflowPunct/>
        <w:topLinePunct w:val="0"/>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FF0000"/>
          <w:kern w:val="0"/>
          <w:sz w:val="32"/>
          <w:szCs w:val="32"/>
        </w:rPr>
      </w:pPr>
      <w:r>
        <w:rPr>
          <w:rFonts w:hint="eastAsia" w:ascii="仿宋_GB2312" w:hAnsi="仿宋_GB2312" w:eastAsia="仿宋_GB2312" w:cs="仿宋_GB2312"/>
          <w:kern w:val="0"/>
          <w:sz w:val="32"/>
          <w:szCs w:val="32"/>
        </w:rPr>
        <w:t>内蒙古大兴安岭森林公安局满归分局2025年度财政拨款“三公”经费全年预算</w:t>
      </w:r>
      <w:r>
        <w:rPr>
          <w:rFonts w:hint="eastAsia" w:eastAsia="仿宋_GB2312"/>
          <w:kern w:val="0"/>
          <w:sz w:val="32"/>
          <w:szCs w:val="32"/>
        </w:rPr>
        <w:t>0.00</w:t>
      </w:r>
      <w:r>
        <w:rPr>
          <w:rFonts w:hint="eastAsia" w:ascii="仿宋_GB2312" w:hAnsi="仿宋_GB2312" w:eastAsia="仿宋_GB2312" w:cs="仿宋_GB2312"/>
          <w:kern w:val="0"/>
          <w:sz w:val="32"/>
          <w:szCs w:val="32"/>
        </w:rPr>
        <w:t>万元，支出决算</w:t>
      </w:r>
      <w:r>
        <w:rPr>
          <w:rFonts w:hint="eastAsia" w:eastAsia="仿宋_GB2312"/>
          <w:kern w:val="0"/>
          <w:sz w:val="32"/>
          <w:szCs w:val="32"/>
        </w:rPr>
        <w:t>0.00</w:t>
      </w:r>
      <w:r>
        <w:rPr>
          <w:rFonts w:hint="eastAsia" w:ascii="仿宋_GB2312" w:hAnsi="仿宋_GB2312" w:eastAsia="仿宋_GB2312" w:cs="仿宋_GB2312"/>
          <w:kern w:val="0"/>
          <w:sz w:val="32"/>
          <w:szCs w:val="32"/>
        </w:rPr>
        <w:t>万元，完成预算的0.00%。其中：因公出国（境）费全年预算</w:t>
      </w:r>
      <w:r>
        <w:rPr>
          <w:rFonts w:hint="eastAsia" w:eastAsia="仿宋_GB2312"/>
          <w:kern w:val="0"/>
          <w:sz w:val="32"/>
          <w:szCs w:val="32"/>
        </w:rPr>
        <w:t>0.00</w:t>
      </w:r>
      <w:r>
        <w:rPr>
          <w:rFonts w:hint="eastAsia" w:ascii="仿宋_GB2312" w:hAnsi="仿宋_GB2312" w:eastAsia="仿宋_GB2312" w:cs="仿宋_GB2312"/>
          <w:kern w:val="0"/>
          <w:sz w:val="32"/>
          <w:szCs w:val="32"/>
        </w:rPr>
        <w:t>万元，支出决算</w:t>
      </w:r>
      <w:r>
        <w:rPr>
          <w:rFonts w:hint="eastAsia" w:eastAsia="仿宋_GB2312"/>
          <w:kern w:val="0"/>
          <w:sz w:val="32"/>
          <w:szCs w:val="32"/>
        </w:rPr>
        <w:t>0.00</w:t>
      </w:r>
      <w:r>
        <w:rPr>
          <w:rFonts w:hint="eastAsia" w:ascii="仿宋_GB2312" w:hAnsi="仿宋_GB2312" w:eastAsia="仿宋_GB2312" w:cs="仿宋_GB2312"/>
          <w:kern w:val="0"/>
          <w:sz w:val="32"/>
          <w:szCs w:val="32"/>
        </w:rPr>
        <w:t>万元，完成预算的0.00%；公务用车购置及运行维护费全年预算</w:t>
      </w:r>
      <w:r>
        <w:rPr>
          <w:rFonts w:hint="eastAsia" w:eastAsia="仿宋_GB2312"/>
          <w:kern w:val="0"/>
          <w:sz w:val="32"/>
          <w:szCs w:val="32"/>
        </w:rPr>
        <w:t>0.00</w:t>
      </w:r>
      <w:r>
        <w:rPr>
          <w:rFonts w:hint="eastAsia" w:ascii="仿宋_GB2312" w:hAnsi="仿宋_GB2312" w:eastAsia="仿宋_GB2312" w:cs="仿宋_GB2312"/>
          <w:kern w:val="0"/>
          <w:sz w:val="32"/>
          <w:szCs w:val="32"/>
        </w:rPr>
        <w:t>万元，支出决算</w:t>
      </w:r>
      <w:r>
        <w:rPr>
          <w:rFonts w:hint="eastAsia" w:eastAsia="仿宋_GB2312"/>
          <w:kern w:val="0"/>
          <w:sz w:val="32"/>
          <w:szCs w:val="32"/>
        </w:rPr>
        <w:t>0.00</w:t>
      </w:r>
      <w:r>
        <w:rPr>
          <w:rFonts w:hint="eastAsia" w:ascii="仿宋_GB2312" w:hAnsi="仿宋_GB2312" w:eastAsia="仿宋_GB2312" w:cs="仿宋_GB2312"/>
          <w:kern w:val="0"/>
          <w:sz w:val="32"/>
          <w:szCs w:val="32"/>
        </w:rPr>
        <w:t>万元，完成预算的0.00%；公务接待费全年预算</w:t>
      </w:r>
      <w:r>
        <w:rPr>
          <w:rFonts w:hint="eastAsia" w:eastAsia="仿宋_GB2312"/>
          <w:kern w:val="0"/>
          <w:sz w:val="32"/>
          <w:szCs w:val="32"/>
        </w:rPr>
        <w:t>0.00</w:t>
      </w:r>
      <w:r>
        <w:rPr>
          <w:rFonts w:hint="eastAsia" w:ascii="仿宋_GB2312" w:hAnsi="仿宋_GB2312" w:eastAsia="仿宋_GB2312" w:cs="仿宋_GB2312"/>
          <w:kern w:val="0"/>
          <w:sz w:val="32"/>
          <w:szCs w:val="32"/>
        </w:rPr>
        <w:t>万元，支出决算</w:t>
      </w:r>
      <w:r>
        <w:rPr>
          <w:rFonts w:hint="eastAsia" w:eastAsia="仿宋_GB2312"/>
          <w:kern w:val="0"/>
          <w:sz w:val="32"/>
          <w:szCs w:val="32"/>
        </w:rPr>
        <w:t>0.00</w:t>
      </w:r>
      <w:r>
        <w:rPr>
          <w:rFonts w:hint="eastAsia" w:ascii="仿宋_GB2312" w:hAnsi="仿宋_GB2312" w:eastAsia="仿宋_GB2312" w:cs="仿宋_GB2312"/>
          <w:kern w:val="0"/>
          <w:sz w:val="32"/>
          <w:szCs w:val="32"/>
        </w:rPr>
        <w:t>万元，完成预算的0.00%。2025年度一般公共预算财政拨款“三公”经费</w:t>
      </w:r>
      <w:r>
        <w:rPr>
          <w:rFonts w:hint="eastAsia" w:ascii="仿宋_GB2312" w:hAnsi="仿宋_GB2312" w:eastAsia="仿宋_GB2312" w:cs="仿宋_GB2312"/>
          <w:kern w:val="0"/>
          <w:sz w:val="32"/>
          <w:szCs w:val="32"/>
          <w:lang w:val="en-US" w:eastAsia="zh-CN"/>
        </w:rPr>
        <w:t>全年预算0.00万元，支出决算0.00万元，</w:t>
      </w:r>
      <w:r>
        <w:rPr>
          <w:rFonts w:hint="eastAsia" w:ascii="仿宋_GB2312" w:hAnsi="仿宋_GB2312" w:eastAsia="仿宋_GB2312" w:cs="仿宋_GB2312"/>
          <w:kern w:val="0"/>
          <w:sz w:val="32"/>
          <w:szCs w:val="32"/>
        </w:rPr>
        <w:t>与预算无差异原因：我单位无此项经费的支出。</w:t>
      </w:r>
    </w:p>
    <w:p w14:paraId="379FE7C6">
      <w:pPr>
        <w:keepNext w:val="0"/>
        <w:keepLines w:val="0"/>
        <w:pageBreakBefore w:val="0"/>
        <w:kinsoku/>
        <w:wordWrap/>
        <w:overflowPunct/>
        <w:topLinePunct w:val="0"/>
        <w:autoSpaceDN/>
        <w:bidi w:val="0"/>
        <w:adjustRightInd/>
        <w:snapToGrid/>
        <w:spacing w:line="560" w:lineRule="exact"/>
        <w:ind w:firstLine="643" w:firstLineChars="200"/>
        <w:jc w:val="both"/>
        <w:textAlignment w:val="auto"/>
        <w:rPr>
          <w:rFonts w:ascii="楷体_GB2312" w:hAnsi="楷体_GB2312" w:eastAsia="楷体_GB2312" w:cs="楷体_GB2312"/>
          <w:b/>
          <w:bCs/>
          <w:kern w:val="0"/>
          <w:sz w:val="32"/>
          <w:szCs w:val="32"/>
        </w:rPr>
      </w:pPr>
      <w:r>
        <w:rPr>
          <w:rFonts w:ascii="楷体_GB2312" w:hAnsi="楷体_GB2312" w:eastAsia="楷体_GB2312" w:cs="楷体_GB2312"/>
          <w:b/>
          <w:bCs/>
          <w:kern w:val="0"/>
          <w:sz w:val="32"/>
          <w:szCs w:val="32"/>
        </w:rPr>
        <w:t>（二）财政拨款“三公”经费支出具体情况说明。</w:t>
      </w:r>
    </w:p>
    <w:p w14:paraId="4078DD8C">
      <w:pPr>
        <w:keepNext w:val="0"/>
        <w:keepLines w:val="0"/>
        <w:pageBreakBefore w:val="0"/>
        <w:kinsoku/>
        <w:wordWrap/>
        <w:overflowPunct/>
        <w:topLinePunct w:val="0"/>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内蒙古大兴安岭森林公安局满归分局2025年度财政拨款“三公”经费支出</w:t>
      </w:r>
      <w:r>
        <w:rPr>
          <w:rFonts w:hint="eastAsia" w:eastAsia="仿宋_GB2312"/>
          <w:kern w:val="0"/>
          <w:sz w:val="32"/>
          <w:szCs w:val="32"/>
        </w:rPr>
        <w:t>0.00</w:t>
      </w:r>
      <w:r>
        <w:rPr>
          <w:rFonts w:hint="eastAsia" w:ascii="仿宋_GB2312" w:hAnsi="仿宋_GB2312" w:eastAsia="仿宋_GB2312" w:cs="仿宋_GB2312"/>
          <w:kern w:val="0"/>
          <w:sz w:val="32"/>
          <w:szCs w:val="32"/>
        </w:rPr>
        <w:t>万元。因公出国（境）费支出</w:t>
      </w:r>
      <w:r>
        <w:rPr>
          <w:rFonts w:hint="eastAsia" w:eastAsia="仿宋_GB2312"/>
          <w:kern w:val="0"/>
          <w:sz w:val="32"/>
          <w:szCs w:val="32"/>
        </w:rPr>
        <w:t>0.00</w:t>
      </w:r>
      <w:r>
        <w:rPr>
          <w:rFonts w:hint="eastAsia" w:ascii="仿宋_GB2312" w:hAnsi="仿宋_GB2312" w:eastAsia="仿宋_GB2312" w:cs="仿宋_GB2312"/>
          <w:kern w:val="0"/>
          <w:sz w:val="32"/>
          <w:szCs w:val="32"/>
        </w:rPr>
        <w:t>万元，占0.00%；公务用车购置及运行维护费支出</w:t>
      </w:r>
      <w:r>
        <w:rPr>
          <w:rFonts w:hint="eastAsia" w:eastAsia="仿宋_GB2312"/>
          <w:kern w:val="0"/>
          <w:sz w:val="32"/>
          <w:szCs w:val="32"/>
        </w:rPr>
        <w:t>0.00</w:t>
      </w:r>
      <w:r>
        <w:rPr>
          <w:rFonts w:hint="eastAsia" w:ascii="仿宋_GB2312" w:hAnsi="仿宋_GB2312" w:eastAsia="仿宋_GB2312" w:cs="仿宋_GB2312"/>
          <w:kern w:val="0"/>
          <w:sz w:val="32"/>
          <w:szCs w:val="32"/>
        </w:rPr>
        <w:t>万元，占0.00%；公务接待费支出</w:t>
      </w:r>
      <w:r>
        <w:rPr>
          <w:rFonts w:hint="eastAsia" w:eastAsia="仿宋_GB2312"/>
          <w:kern w:val="0"/>
          <w:sz w:val="32"/>
          <w:szCs w:val="32"/>
        </w:rPr>
        <w:t>0.00</w:t>
      </w:r>
      <w:r>
        <w:rPr>
          <w:rFonts w:hint="eastAsia" w:ascii="仿宋_GB2312" w:hAnsi="仿宋_GB2312" w:eastAsia="仿宋_GB2312" w:cs="仿宋_GB2312"/>
          <w:kern w:val="0"/>
          <w:sz w:val="32"/>
          <w:szCs w:val="32"/>
        </w:rPr>
        <w:t>万元，占0.00%。其中：</w:t>
      </w:r>
    </w:p>
    <w:p w14:paraId="10E8EBB3">
      <w:pPr>
        <w:keepNext w:val="0"/>
        <w:keepLines w:val="0"/>
        <w:pageBreakBefore w:val="0"/>
        <w:kinsoku/>
        <w:wordWrap/>
        <w:overflowPunct/>
        <w:topLinePunct w:val="0"/>
        <w:autoSpaceDN/>
        <w:bidi w:val="0"/>
        <w:adjustRightInd/>
        <w:snapToGrid/>
        <w:spacing w:line="560" w:lineRule="exact"/>
        <w:ind w:firstLine="643"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1.因公出国（境）费支出</w:t>
      </w:r>
      <w:r>
        <w:rPr>
          <w:rFonts w:hint="eastAsia" w:eastAsia="仿宋_GB2312"/>
          <w:kern w:val="0"/>
          <w:sz w:val="32"/>
          <w:szCs w:val="32"/>
        </w:rPr>
        <w:t>0.00</w:t>
      </w:r>
      <w:r>
        <w:rPr>
          <w:rFonts w:hint="eastAsia" w:ascii="仿宋_GB2312" w:hAnsi="仿宋_GB2312" w:eastAsia="仿宋_GB2312" w:cs="仿宋_GB2312"/>
          <w:kern w:val="0"/>
          <w:sz w:val="32"/>
          <w:szCs w:val="32"/>
        </w:rPr>
        <w:t>万元，全年出国（境）团组0个，累计0人次。与上年决算相比，增加</w:t>
      </w:r>
      <w:r>
        <w:rPr>
          <w:rFonts w:hint="eastAsia" w:eastAsia="仿宋_GB2312"/>
          <w:kern w:val="0"/>
          <w:sz w:val="32"/>
          <w:szCs w:val="32"/>
        </w:rPr>
        <w:t>0.00</w:t>
      </w:r>
      <w:r>
        <w:rPr>
          <w:rFonts w:hint="eastAsia" w:ascii="仿宋_GB2312" w:hAnsi="仿宋_GB2312" w:eastAsia="仿宋_GB2312" w:cs="仿宋_GB2312"/>
          <w:kern w:val="0"/>
          <w:sz w:val="32"/>
          <w:szCs w:val="32"/>
        </w:rPr>
        <w:t>万元，增长0.00%，</w:t>
      </w:r>
      <w:r>
        <w:rPr>
          <w:rFonts w:hint="eastAsia" w:ascii="仿宋_GB2312" w:hAnsi="仿宋_GB2312" w:eastAsia="仿宋_GB2312" w:cs="仿宋_GB2312"/>
          <w:kern w:val="0"/>
          <w:sz w:val="32"/>
          <w:szCs w:val="32"/>
          <w:lang w:val="en-US" w:eastAsia="zh-CN"/>
        </w:rPr>
        <w:t>变动原因：我单位无此项支出。</w:t>
      </w:r>
    </w:p>
    <w:p w14:paraId="0245EBC0">
      <w:pPr>
        <w:keepNext w:val="0"/>
        <w:keepLines w:val="0"/>
        <w:pageBreakBefore w:val="0"/>
        <w:kinsoku/>
        <w:wordWrap/>
        <w:overflowPunct/>
        <w:topLinePunct w:val="0"/>
        <w:autoSpaceDN/>
        <w:bidi w:val="0"/>
        <w:adjustRightInd/>
        <w:snapToGrid/>
        <w:spacing w:line="560" w:lineRule="exact"/>
        <w:ind w:firstLine="643"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2.公务用车购置及运行维护费</w:t>
      </w:r>
      <w:r>
        <w:rPr>
          <w:rFonts w:hint="eastAsia" w:ascii="仿宋_GB2312" w:hAnsi="仿宋_GB2312" w:eastAsia="仿宋_GB2312" w:cs="仿宋_GB2312"/>
          <w:kern w:val="0"/>
          <w:sz w:val="32"/>
          <w:szCs w:val="32"/>
        </w:rPr>
        <w:t>支出</w:t>
      </w:r>
      <w:r>
        <w:rPr>
          <w:rFonts w:hint="eastAsia" w:eastAsia="仿宋_GB2312"/>
          <w:kern w:val="0"/>
          <w:sz w:val="32"/>
          <w:szCs w:val="32"/>
        </w:rPr>
        <w:t>0.00</w:t>
      </w:r>
      <w:r>
        <w:rPr>
          <w:rFonts w:hint="eastAsia" w:ascii="仿宋_GB2312" w:hAnsi="仿宋_GB2312" w:eastAsia="仿宋_GB2312" w:cs="仿宋_GB2312"/>
          <w:kern w:val="0"/>
          <w:sz w:val="32"/>
          <w:szCs w:val="32"/>
        </w:rPr>
        <w:t>万元。其中：</w:t>
      </w:r>
    </w:p>
    <w:p w14:paraId="780190D7">
      <w:pPr>
        <w:keepNext w:val="0"/>
        <w:keepLines w:val="0"/>
        <w:pageBreakBefore w:val="0"/>
        <w:kinsoku/>
        <w:wordWrap/>
        <w:overflowPunct/>
        <w:topLinePunct w:val="0"/>
        <w:autoSpaceDN/>
        <w:bidi w:val="0"/>
        <w:adjustRightInd/>
        <w:snapToGrid/>
        <w:spacing w:line="560" w:lineRule="exact"/>
        <w:ind w:firstLine="643"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（1）公务用车购置支出</w:t>
      </w:r>
      <w:r>
        <w:rPr>
          <w:rFonts w:hint="eastAsia" w:eastAsia="仿宋_GB2312"/>
          <w:kern w:val="0"/>
          <w:sz w:val="32"/>
          <w:szCs w:val="32"/>
        </w:rPr>
        <w:t>0.00</w:t>
      </w:r>
      <w:r>
        <w:rPr>
          <w:rFonts w:hint="eastAsia" w:ascii="仿宋_GB2312" w:hAnsi="仿宋_GB2312" w:eastAsia="仿宋_GB2312" w:cs="仿宋_GB2312"/>
          <w:kern w:val="0"/>
          <w:sz w:val="32"/>
          <w:szCs w:val="32"/>
        </w:rPr>
        <w:t>万元。本年度使用财政拨款购置公务用车0辆，开支内容：我单位无公务用车购置支出。与上年决算相比，增加</w:t>
      </w:r>
      <w:r>
        <w:rPr>
          <w:rFonts w:hint="eastAsia" w:eastAsia="仿宋_GB2312"/>
          <w:kern w:val="0"/>
          <w:sz w:val="32"/>
          <w:szCs w:val="32"/>
        </w:rPr>
        <w:t>0.00</w:t>
      </w:r>
      <w:r>
        <w:rPr>
          <w:rFonts w:hint="eastAsia" w:ascii="仿宋_GB2312" w:hAnsi="仿宋_GB2312" w:eastAsia="仿宋_GB2312" w:cs="仿宋_GB2312"/>
          <w:kern w:val="0"/>
          <w:sz w:val="32"/>
          <w:szCs w:val="32"/>
        </w:rPr>
        <w:t>万元，增长0.00%，</w:t>
      </w:r>
      <w:r>
        <w:rPr>
          <w:rFonts w:hint="eastAsia" w:ascii="仿宋_GB2312" w:hAnsi="仿宋_GB2312" w:eastAsia="仿宋_GB2312" w:cs="仿宋_GB2312"/>
          <w:kern w:val="0"/>
          <w:sz w:val="32"/>
          <w:szCs w:val="32"/>
          <w:lang w:val="en-US" w:eastAsia="zh-CN"/>
        </w:rPr>
        <w:t>变动原因：我单位无此项支出。</w:t>
      </w:r>
    </w:p>
    <w:p w14:paraId="1C2E5ADA">
      <w:pPr>
        <w:keepNext w:val="0"/>
        <w:keepLines w:val="0"/>
        <w:pageBreakBefore w:val="0"/>
        <w:widowControl/>
        <w:kinsoku/>
        <w:wordWrap/>
        <w:overflowPunct/>
        <w:topLinePunct w:val="0"/>
        <w:autoSpaceDN/>
        <w:bidi w:val="0"/>
        <w:adjustRightInd/>
        <w:snapToGrid/>
        <w:spacing w:line="560" w:lineRule="exact"/>
        <w:ind w:firstLine="643" w:firstLineChars="200"/>
        <w:jc w:val="both"/>
        <w:textAlignment w:val="auto"/>
        <w:rPr>
          <w:rFonts w:hint="default" w:ascii="仿宋_GB2312" w:hAnsi="仿宋_GB2312" w:eastAsia="仿宋_GB2312" w:cs="仿宋_GB2312"/>
          <w:kern w:val="0"/>
          <w:sz w:val="32"/>
          <w:szCs w:val="32"/>
          <w:lang w:val="en-US"/>
        </w:rPr>
      </w:pPr>
      <w:r>
        <w:rPr>
          <w:rFonts w:hint="eastAsia" w:ascii="仿宋_GB2312" w:hAnsi="仿宋_GB2312" w:eastAsia="仿宋_GB2312" w:cs="仿宋_GB2312"/>
          <w:b/>
          <w:bCs/>
          <w:kern w:val="0"/>
          <w:sz w:val="32"/>
          <w:szCs w:val="32"/>
        </w:rPr>
        <w:t>（2）公务用车运行维护费支出</w:t>
      </w:r>
      <w:r>
        <w:rPr>
          <w:rFonts w:hint="eastAsia" w:eastAsia="仿宋_GB2312"/>
          <w:kern w:val="0"/>
          <w:sz w:val="32"/>
          <w:szCs w:val="32"/>
        </w:rPr>
        <w:t>0.00</w:t>
      </w:r>
      <w:r>
        <w:rPr>
          <w:rFonts w:hint="eastAsia" w:ascii="仿宋_GB2312" w:hAnsi="仿宋_GB2312" w:eastAsia="仿宋_GB2312" w:cs="仿宋_GB2312"/>
          <w:kern w:val="0"/>
          <w:sz w:val="32"/>
          <w:szCs w:val="32"/>
        </w:rPr>
        <w:t>万元。公务用车运行维护费主要用于按规定保留的公务用车的燃料费、</w:t>
      </w:r>
      <w:r>
        <w:rPr>
          <w:rFonts w:hint="eastAsia" w:ascii="仿宋_GB2312" w:hAnsi="仿宋_GB2312" w:eastAsia="仿宋_GB2312" w:cs="仿宋_GB2312"/>
          <w:kern w:val="0"/>
          <w:sz w:val="32"/>
          <w:szCs w:val="32"/>
          <w:lang w:val="en-US" w:eastAsia="zh-CN"/>
        </w:rPr>
        <w:t>新能源汽车冲电费、</w:t>
      </w:r>
      <w:r>
        <w:rPr>
          <w:rFonts w:hint="eastAsia" w:ascii="仿宋_GB2312" w:hAnsi="仿宋_GB2312" w:eastAsia="仿宋_GB2312" w:cs="仿宋_GB2312"/>
          <w:kern w:val="0"/>
          <w:sz w:val="32"/>
          <w:szCs w:val="32"/>
        </w:rPr>
        <w:t>维修费、过桥过路费、保险费</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lang w:val="en-US" w:eastAsia="zh-CN"/>
        </w:rPr>
        <w:t>安全奖励费用</w:t>
      </w:r>
      <w:r>
        <w:rPr>
          <w:rFonts w:hint="eastAsia" w:ascii="仿宋_GB2312" w:hAnsi="仿宋_GB2312" w:eastAsia="仿宋_GB2312" w:cs="仿宋_GB2312"/>
          <w:kern w:val="0"/>
          <w:sz w:val="32"/>
          <w:szCs w:val="32"/>
        </w:rPr>
        <w:t>等支出。截至2025年12月31日，使用财政拨款开支的公务用车保有量为0辆。与上年决算相比</w:t>
      </w:r>
      <w:r>
        <w:rPr>
          <w:rFonts w:hint="eastAsia" w:ascii="仿宋_GB2312" w:hAnsi="仿宋_GB2312" w:eastAsia="仿宋_GB2312" w:cs="仿宋_GB2312"/>
          <w:kern w:val="0"/>
          <w:sz w:val="32"/>
          <w:szCs w:val="32"/>
          <w:lang w:val="en-US" w:eastAsia="zh-CN"/>
        </w:rPr>
        <w:t>增加了0.00万元，增长0.00%，变动原因：我单位无此项支出。</w:t>
      </w:r>
    </w:p>
    <w:p w14:paraId="0CAC0555">
      <w:pPr>
        <w:keepNext w:val="0"/>
        <w:keepLines w:val="0"/>
        <w:pageBreakBefore w:val="0"/>
        <w:widowControl/>
        <w:kinsoku/>
        <w:wordWrap/>
        <w:overflowPunct/>
        <w:topLinePunct w:val="0"/>
        <w:autoSpaceDN/>
        <w:bidi w:val="0"/>
        <w:adjustRightInd/>
        <w:snapToGrid/>
        <w:spacing w:line="560" w:lineRule="exact"/>
        <w:ind w:firstLine="643"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b/>
          <w:bCs/>
          <w:kern w:val="0"/>
          <w:sz w:val="32"/>
          <w:szCs w:val="32"/>
        </w:rPr>
        <w:t>3.公务接待费支出</w:t>
      </w:r>
      <w:r>
        <w:rPr>
          <w:rFonts w:hint="eastAsia" w:eastAsia="仿宋_GB2312"/>
          <w:kern w:val="0"/>
          <w:sz w:val="32"/>
          <w:szCs w:val="32"/>
        </w:rPr>
        <w:t>0.00</w:t>
      </w:r>
      <w:r>
        <w:rPr>
          <w:rFonts w:hint="eastAsia" w:ascii="仿宋_GB2312" w:hAnsi="仿宋_GB2312" w:eastAsia="仿宋_GB2312" w:cs="仿宋_GB2312"/>
          <w:kern w:val="0"/>
          <w:sz w:val="32"/>
          <w:szCs w:val="32"/>
        </w:rPr>
        <w:t>万元。其中：国内公务接待支出</w:t>
      </w:r>
      <w:r>
        <w:rPr>
          <w:rFonts w:hint="eastAsia" w:eastAsia="仿宋_GB2312"/>
          <w:kern w:val="0"/>
          <w:sz w:val="32"/>
          <w:szCs w:val="32"/>
        </w:rPr>
        <w:t>0.00</w:t>
      </w:r>
      <w:r>
        <w:rPr>
          <w:rFonts w:hint="eastAsia" w:ascii="仿宋_GB2312" w:hAnsi="仿宋_GB2312" w:eastAsia="仿宋_GB2312" w:cs="仿宋_GB2312"/>
          <w:kern w:val="0"/>
          <w:sz w:val="32"/>
          <w:szCs w:val="32"/>
        </w:rPr>
        <w:t>万元，接待0批次，0人次，开支内容：我单位无公务接待费支出；国（境）外公务接待支出</w:t>
      </w:r>
      <w:r>
        <w:rPr>
          <w:rFonts w:hint="eastAsia" w:eastAsia="仿宋_GB2312"/>
          <w:kern w:val="0"/>
          <w:sz w:val="32"/>
          <w:szCs w:val="32"/>
        </w:rPr>
        <w:t>0.00</w:t>
      </w:r>
      <w:r>
        <w:rPr>
          <w:rFonts w:hint="eastAsia" w:ascii="仿宋_GB2312" w:hAnsi="仿宋_GB2312" w:eastAsia="仿宋_GB2312" w:cs="仿宋_GB2312"/>
          <w:kern w:val="0"/>
          <w:sz w:val="32"/>
          <w:szCs w:val="32"/>
        </w:rPr>
        <w:t>万元，接待0批次，0人次，开支内容：我单位无国（境）外公务接待支出。与上年决算相比，增加</w:t>
      </w:r>
      <w:r>
        <w:rPr>
          <w:rFonts w:hint="eastAsia" w:eastAsia="仿宋_GB2312"/>
          <w:kern w:val="0"/>
          <w:sz w:val="32"/>
          <w:szCs w:val="32"/>
        </w:rPr>
        <w:t>0.00</w:t>
      </w:r>
      <w:r>
        <w:rPr>
          <w:rFonts w:hint="eastAsia" w:ascii="仿宋_GB2312" w:hAnsi="仿宋_GB2312" w:eastAsia="仿宋_GB2312" w:cs="仿宋_GB2312"/>
          <w:kern w:val="0"/>
          <w:sz w:val="32"/>
          <w:szCs w:val="32"/>
        </w:rPr>
        <w:t>万元，增长0.00%，</w:t>
      </w:r>
      <w:r>
        <w:rPr>
          <w:rFonts w:hint="eastAsia" w:ascii="仿宋_GB2312" w:hAnsi="仿宋_GB2312" w:eastAsia="仿宋_GB2312" w:cs="仿宋_GB2312"/>
          <w:kern w:val="0"/>
          <w:sz w:val="32"/>
          <w:szCs w:val="32"/>
          <w:lang w:val="en-US" w:eastAsia="zh-CN"/>
        </w:rPr>
        <w:t>变动原因：我单位无此项支出。</w:t>
      </w:r>
    </w:p>
    <w:p w14:paraId="379B4F34">
      <w:pPr>
        <w:keepNext w:val="0"/>
        <w:keepLines w:val="0"/>
        <w:pageBreakBefore w:val="0"/>
        <w:kinsoku/>
        <w:wordWrap/>
        <w:overflowPunct/>
        <w:topLinePunct w:val="0"/>
        <w:autoSpaceDN/>
        <w:bidi w:val="0"/>
        <w:adjustRightInd/>
        <w:snapToGrid/>
        <w:spacing w:line="560" w:lineRule="exact"/>
        <w:ind w:firstLine="640" w:firstLineChars="200"/>
        <w:jc w:val="both"/>
        <w:textAlignment w:val="auto"/>
        <w:rPr>
          <w:rFonts w:hint="eastAsia" w:ascii="黑体" w:hAnsi="黑体" w:eastAsia="黑体" w:cs="黑体"/>
          <w:kern w:val="0"/>
          <w:sz w:val="32"/>
          <w:szCs w:val="32"/>
        </w:rPr>
      </w:pPr>
      <w:r>
        <w:rPr>
          <w:rFonts w:ascii="黑体" w:hAnsi="黑体" w:eastAsia="黑体" w:cs="黑体"/>
          <w:kern w:val="0"/>
          <w:sz w:val="32"/>
          <w:szCs w:val="32"/>
        </w:rPr>
        <w:t>九、政府性基金预算财政拨款支出决算情况说明</w:t>
      </w:r>
    </w:p>
    <w:p w14:paraId="12EA5303">
      <w:pPr>
        <w:keepNext w:val="0"/>
        <w:keepLines w:val="0"/>
        <w:pageBreakBefore w:val="0"/>
        <w:kinsoku/>
        <w:wordWrap/>
        <w:overflowPunct/>
        <w:topLinePunct w:val="0"/>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FF0000"/>
          <w:kern w:val="0"/>
          <w:sz w:val="32"/>
          <w:szCs w:val="32"/>
        </w:rPr>
      </w:pPr>
      <w:r>
        <w:rPr>
          <w:rFonts w:hint="eastAsia" w:ascii="仿宋_GB2312" w:hAnsi="仿宋_GB2312" w:eastAsia="仿宋_GB2312" w:cs="仿宋_GB2312"/>
          <w:kern w:val="0"/>
          <w:sz w:val="32"/>
          <w:szCs w:val="32"/>
        </w:rPr>
        <w:t>内蒙古大兴安岭森林公安局满归分局2025年度政府性基金预算财政拨款支出决算</w:t>
      </w:r>
      <w:r>
        <w:rPr>
          <w:rFonts w:hint="eastAsia" w:eastAsia="仿宋_GB2312"/>
          <w:kern w:val="0"/>
          <w:sz w:val="32"/>
          <w:szCs w:val="32"/>
        </w:rPr>
        <w:t>0.00</w:t>
      </w:r>
      <w:r>
        <w:rPr>
          <w:rFonts w:hint="eastAsia" w:ascii="仿宋_GB2312" w:hAnsi="仿宋_GB2312" w:eastAsia="仿宋_GB2312" w:cs="仿宋_GB2312"/>
          <w:kern w:val="0"/>
          <w:sz w:val="32"/>
          <w:szCs w:val="32"/>
        </w:rPr>
        <w:t>万元。与上年决算相比，增加</w:t>
      </w:r>
      <w:r>
        <w:rPr>
          <w:rFonts w:hint="eastAsia" w:eastAsia="仿宋_GB2312"/>
          <w:kern w:val="0"/>
          <w:sz w:val="32"/>
          <w:szCs w:val="32"/>
        </w:rPr>
        <w:t>0.00</w:t>
      </w:r>
      <w:r>
        <w:rPr>
          <w:rFonts w:hint="eastAsia" w:ascii="仿宋_GB2312" w:hAnsi="仿宋_GB2312" w:eastAsia="仿宋_GB2312" w:cs="仿宋_GB2312"/>
          <w:kern w:val="0"/>
          <w:sz w:val="32"/>
          <w:szCs w:val="32"/>
        </w:rPr>
        <w:t>万元，增长0.00%，变动原因：本年无政府性基金预算财政拨款收、支、余。</w:t>
      </w:r>
    </w:p>
    <w:p w14:paraId="67EBF406">
      <w:pPr>
        <w:keepNext w:val="0"/>
        <w:keepLines w:val="0"/>
        <w:pageBreakBefore w:val="0"/>
        <w:kinsoku/>
        <w:wordWrap/>
        <w:overflowPunct/>
        <w:topLinePunct w:val="0"/>
        <w:autoSpaceDN/>
        <w:bidi w:val="0"/>
        <w:adjustRightInd/>
        <w:snapToGrid/>
        <w:spacing w:line="560" w:lineRule="exact"/>
        <w:ind w:firstLine="640" w:firstLineChars="200"/>
        <w:jc w:val="both"/>
        <w:textAlignment w:val="auto"/>
        <w:rPr>
          <w:rFonts w:hint="eastAsia" w:ascii="黑体" w:hAnsi="黑体" w:eastAsia="黑体" w:cs="黑体"/>
          <w:kern w:val="0"/>
          <w:sz w:val="32"/>
          <w:szCs w:val="32"/>
        </w:rPr>
      </w:pPr>
      <w:r>
        <w:rPr>
          <w:rFonts w:ascii="黑体" w:hAnsi="黑体" w:eastAsia="黑体" w:cs="黑体"/>
          <w:kern w:val="0"/>
          <w:sz w:val="32"/>
          <w:szCs w:val="32"/>
        </w:rPr>
        <w:t>十、国有资本经营预算财政拨款支出决算情况说明</w:t>
      </w:r>
    </w:p>
    <w:p w14:paraId="052FC08E">
      <w:pPr>
        <w:keepNext w:val="0"/>
        <w:keepLines w:val="0"/>
        <w:pageBreakBefore w:val="0"/>
        <w:widowControl/>
        <w:kinsoku/>
        <w:wordWrap/>
        <w:overflowPunct/>
        <w:topLinePunct w:val="0"/>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内蒙古大兴安岭森林公安局满归分局2025年度国有资本经营预算财政拨款支出决算</w:t>
      </w:r>
      <w:r>
        <w:rPr>
          <w:rFonts w:hint="eastAsia" w:eastAsia="仿宋_GB2312"/>
          <w:kern w:val="0"/>
          <w:sz w:val="32"/>
          <w:szCs w:val="32"/>
        </w:rPr>
        <w:t>0.00</w:t>
      </w:r>
      <w:r>
        <w:rPr>
          <w:rFonts w:hint="eastAsia" w:ascii="仿宋_GB2312" w:hAnsi="仿宋_GB2312" w:eastAsia="仿宋_GB2312" w:cs="仿宋_GB2312"/>
          <w:kern w:val="0"/>
          <w:sz w:val="32"/>
          <w:szCs w:val="32"/>
        </w:rPr>
        <w:t>万元。与上年决算相比，增加</w:t>
      </w:r>
      <w:r>
        <w:rPr>
          <w:rFonts w:hint="eastAsia" w:eastAsia="仿宋_GB2312"/>
          <w:kern w:val="0"/>
          <w:sz w:val="32"/>
          <w:szCs w:val="32"/>
        </w:rPr>
        <w:t>0.00</w:t>
      </w:r>
      <w:r>
        <w:rPr>
          <w:rFonts w:hint="eastAsia" w:ascii="仿宋_GB2312" w:hAnsi="仿宋_GB2312" w:eastAsia="仿宋_GB2312" w:cs="仿宋_GB2312"/>
          <w:kern w:val="0"/>
          <w:sz w:val="32"/>
          <w:szCs w:val="32"/>
        </w:rPr>
        <w:t>万元，增长0.00%，变动原因：本年无国有资本经营预算财政拨款收、支、余。</w:t>
      </w:r>
    </w:p>
    <w:p w14:paraId="3085AD61">
      <w:pPr>
        <w:keepNext w:val="0"/>
        <w:keepLines w:val="0"/>
        <w:pageBreakBefore w:val="0"/>
        <w:widowControl/>
        <w:kinsoku/>
        <w:wordWrap/>
        <w:overflowPunct/>
        <w:topLinePunct w:val="0"/>
        <w:autoSpaceDN/>
        <w:bidi w:val="0"/>
        <w:adjustRightInd/>
        <w:snapToGrid/>
        <w:spacing w:line="560" w:lineRule="exact"/>
        <w:ind w:firstLine="640" w:firstLineChars="200"/>
        <w:jc w:val="both"/>
        <w:textAlignment w:val="auto"/>
        <w:rPr>
          <w:rFonts w:hint="eastAsia" w:ascii="黑体" w:hAnsi="黑体" w:eastAsia="黑体" w:cs="黑体"/>
          <w:kern w:val="0"/>
          <w:sz w:val="32"/>
          <w:szCs w:val="32"/>
        </w:rPr>
      </w:pPr>
      <w:r>
        <w:rPr>
          <w:rFonts w:ascii="黑体" w:hAnsi="黑体" w:eastAsia="黑体" w:cs="黑体"/>
          <w:kern w:val="0"/>
          <w:sz w:val="32"/>
          <w:szCs w:val="32"/>
        </w:rPr>
        <w:t>十一、</w:t>
      </w:r>
      <w:r>
        <w:rPr>
          <w:rFonts w:eastAsia="黑体" w:cs="黑体"/>
          <w:kern w:val="0"/>
          <w:sz w:val="32"/>
          <w:szCs w:val="32"/>
        </w:rPr>
        <w:t>机关运行经费（公用经费）支出决算情况说明</w:t>
      </w:r>
    </w:p>
    <w:p w14:paraId="13A4D981">
      <w:pPr>
        <w:keepNext w:val="0"/>
        <w:keepLines w:val="0"/>
        <w:pageBreakBefore w:val="0"/>
        <w:widowControl/>
        <w:kinsoku/>
        <w:wordWrap/>
        <w:overflowPunct/>
        <w:topLinePunct w:val="0"/>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内蒙古大兴安岭森林公安局满归分局2025年度公用经费支出决算</w:t>
      </w:r>
      <w:r>
        <w:rPr>
          <w:rFonts w:hint="eastAsia" w:eastAsia="仿宋_GB2312"/>
          <w:kern w:val="0"/>
          <w:sz w:val="32"/>
          <w:szCs w:val="32"/>
        </w:rPr>
        <w:t>218.42</w:t>
      </w:r>
      <w:r>
        <w:rPr>
          <w:rFonts w:hint="eastAsia" w:ascii="仿宋_GB2312" w:hAnsi="仿宋_GB2312" w:eastAsia="仿宋_GB2312" w:cs="仿宋_GB2312"/>
          <w:kern w:val="0"/>
          <w:sz w:val="32"/>
          <w:szCs w:val="32"/>
        </w:rPr>
        <w:t>万元。比上年决算相比，增加</w:t>
      </w:r>
      <w:r>
        <w:rPr>
          <w:rFonts w:hint="eastAsia" w:eastAsia="仿宋_GB2312"/>
          <w:kern w:val="0"/>
          <w:sz w:val="32"/>
          <w:szCs w:val="32"/>
        </w:rPr>
        <w:t>16.30</w:t>
      </w:r>
      <w:r>
        <w:rPr>
          <w:rFonts w:hint="eastAsia" w:ascii="仿宋_GB2312" w:hAnsi="仿宋_GB2312" w:eastAsia="仿宋_GB2312" w:cs="仿宋_GB2312"/>
          <w:kern w:val="0"/>
          <w:sz w:val="32"/>
          <w:szCs w:val="32"/>
        </w:rPr>
        <w:t>万元，增加8.07%，变动原因：新招录人员增多，公用经费相对增加。其中，机关运行经费支出决算</w:t>
      </w:r>
      <w:r>
        <w:rPr>
          <w:rFonts w:hint="eastAsia" w:eastAsia="仿宋_GB2312"/>
          <w:kern w:val="0"/>
          <w:sz w:val="32"/>
          <w:szCs w:val="32"/>
        </w:rPr>
        <w:t>218.42</w:t>
      </w:r>
      <w:r>
        <w:rPr>
          <w:rFonts w:hint="eastAsia" w:ascii="仿宋_GB2312" w:hAnsi="仿宋_GB2312" w:eastAsia="仿宋_GB2312" w:cs="仿宋_GB2312"/>
          <w:kern w:val="0"/>
          <w:sz w:val="32"/>
          <w:szCs w:val="32"/>
        </w:rPr>
        <w:t>万元。比上年决算相比，增加</w:t>
      </w:r>
      <w:r>
        <w:rPr>
          <w:rFonts w:hint="eastAsia" w:eastAsia="仿宋_GB2312"/>
          <w:kern w:val="0"/>
          <w:sz w:val="32"/>
          <w:szCs w:val="32"/>
        </w:rPr>
        <w:t>16.30</w:t>
      </w:r>
      <w:r>
        <w:rPr>
          <w:rFonts w:hint="eastAsia" w:ascii="仿宋_GB2312" w:hAnsi="仿宋_GB2312" w:eastAsia="仿宋_GB2312" w:cs="仿宋_GB2312"/>
          <w:kern w:val="0"/>
          <w:sz w:val="32"/>
          <w:szCs w:val="32"/>
        </w:rPr>
        <w:t>万元，增长8.07%，变动原因：新招录人员增多，费用相对增加。</w:t>
      </w:r>
    </w:p>
    <w:p w14:paraId="4B7EB2D9">
      <w:pPr>
        <w:keepNext w:val="0"/>
        <w:keepLines w:val="0"/>
        <w:pageBreakBefore w:val="0"/>
        <w:widowControl/>
        <w:kinsoku/>
        <w:wordWrap/>
        <w:overflowPunct/>
        <w:topLinePunct w:val="0"/>
        <w:autoSpaceDN/>
        <w:bidi w:val="0"/>
        <w:adjustRightInd/>
        <w:snapToGrid/>
        <w:spacing w:line="560" w:lineRule="exact"/>
        <w:ind w:firstLine="640" w:firstLineChars="200"/>
        <w:jc w:val="both"/>
        <w:textAlignment w:val="auto"/>
        <w:rPr>
          <w:rFonts w:hint="eastAsia" w:ascii="黑体" w:hAnsi="黑体" w:eastAsia="黑体" w:cs="黑体"/>
          <w:kern w:val="0"/>
          <w:sz w:val="32"/>
          <w:szCs w:val="32"/>
        </w:rPr>
      </w:pPr>
      <w:r>
        <w:rPr>
          <w:rFonts w:hint="eastAsia" w:ascii="黑体" w:hAnsi="黑体" w:eastAsia="黑体" w:cs="黑体"/>
          <w:kern w:val="0"/>
          <w:sz w:val="32"/>
          <w:szCs w:val="32"/>
        </w:rPr>
        <w:t>十二、</w:t>
      </w:r>
      <w:r>
        <w:rPr>
          <w:rFonts w:ascii="黑体" w:hAnsi="黑体" w:eastAsia="黑体" w:cs="黑体"/>
          <w:kern w:val="0"/>
          <w:sz w:val="32"/>
          <w:szCs w:val="32"/>
        </w:rPr>
        <w:t>政府采购支出决算情况说明</w:t>
      </w:r>
    </w:p>
    <w:p w14:paraId="0B93D571">
      <w:pPr>
        <w:keepNext w:val="0"/>
        <w:keepLines w:val="0"/>
        <w:pageBreakBefore w:val="0"/>
        <w:widowControl/>
        <w:kinsoku/>
        <w:wordWrap/>
        <w:overflowPunct/>
        <w:topLinePunct w:val="0"/>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0000FF"/>
          <w:kern w:val="0"/>
          <w:sz w:val="32"/>
          <w:szCs w:val="32"/>
        </w:rPr>
      </w:pPr>
      <w:r>
        <w:rPr>
          <w:rFonts w:hint="eastAsia" w:ascii="仿宋_GB2312" w:hAnsi="仿宋_GB2312" w:eastAsia="仿宋_GB2312" w:cs="仿宋_GB2312"/>
          <w:kern w:val="0"/>
          <w:sz w:val="32"/>
          <w:szCs w:val="32"/>
        </w:rPr>
        <w:t>内蒙古大兴安岭森林公安局满归分局2025年度政府采购支出总额</w:t>
      </w:r>
      <w:r>
        <w:rPr>
          <w:rFonts w:hint="eastAsia" w:eastAsia="仿宋_GB2312"/>
          <w:kern w:val="0"/>
          <w:sz w:val="32"/>
          <w:szCs w:val="32"/>
        </w:rPr>
        <w:t>33.05</w:t>
      </w:r>
      <w:r>
        <w:rPr>
          <w:rFonts w:hint="eastAsia" w:ascii="仿宋_GB2312" w:hAnsi="仿宋_GB2312" w:eastAsia="仿宋_GB2312" w:cs="仿宋_GB2312"/>
          <w:kern w:val="0"/>
          <w:sz w:val="32"/>
          <w:szCs w:val="32"/>
        </w:rPr>
        <w:t>万元，其中：政府采购货物支出</w:t>
      </w:r>
      <w:r>
        <w:rPr>
          <w:rFonts w:hint="eastAsia" w:eastAsia="仿宋_GB2312"/>
          <w:kern w:val="0"/>
          <w:sz w:val="32"/>
          <w:szCs w:val="32"/>
        </w:rPr>
        <w:t>1.28</w:t>
      </w:r>
      <w:r>
        <w:rPr>
          <w:rFonts w:hint="eastAsia" w:ascii="仿宋_GB2312" w:hAnsi="仿宋_GB2312" w:eastAsia="仿宋_GB2312" w:cs="仿宋_GB2312"/>
          <w:kern w:val="0"/>
          <w:sz w:val="32"/>
          <w:szCs w:val="32"/>
        </w:rPr>
        <w:t>万元、政府采购工程支出</w:t>
      </w:r>
      <w:r>
        <w:rPr>
          <w:rFonts w:hint="eastAsia" w:eastAsia="仿宋_GB2312"/>
          <w:kern w:val="0"/>
          <w:sz w:val="32"/>
          <w:szCs w:val="32"/>
        </w:rPr>
        <w:t>0.00</w:t>
      </w:r>
      <w:r>
        <w:rPr>
          <w:rFonts w:hint="eastAsia" w:ascii="仿宋_GB2312" w:hAnsi="仿宋_GB2312" w:eastAsia="仿宋_GB2312" w:cs="仿宋_GB2312"/>
          <w:kern w:val="0"/>
          <w:sz w:val="32"/>
          <w:szCs w:val="32"/>
        </w:rPr>
        <w:t>万元、政府采购服务支出</w:t>
      </w:r>
      <w:r>
        <w:rPr>
          <w:rFonts w:hint="eastAsia" w:eastAsia="仿宋_GB2312"/>
          <w:kern w:val="0"/>
          <w:sz w:val="32"/>
          <w:szCs w:val="32"/>
        </w:rPr>
        <w:t>31.76</w:t>
      </w:r>
      <w:r>
        <w:rPr>
          <w:rFonts w:hint="eastAsia" w:ascii="仿宋_GB2312" w:hAnsi="仿宋_GB2312" w:eastAsia="仿宋_GB2312" w:cs="仿宋_GB2312"/>
          <w:kern w:val="0"/>
          <w:sz w:val="32"/>
          <w:szCs w:val="32"/>
        </w:rPr>
        <w:t>万元。政府采购授予中小企业合同金额</w:t>
      </w:r>
      <w:r>
        <w:rPr>
          <w:rFonts w:hint="eastAsia" w:eastAsia="仿宋_GB2312"/>
          <w:kern w:val="0"/>
          <w:sz w:val="32"/>
          <w:szCs w:val="32"/>
        </w:rPr>
        <w:t>27.02万</w:t>
      </w:r>
      <w:r>
        <w:rPr>
          <w:rFonts w:hint="eastAsia" w:ascii="仿宋_GB2312" w:hAnsi="仿宋_GB2312" w:eastAsia="仿宋_GB2312" w:cs="仿宋_GB2312"/>
          <w:kern w:val="0"/>
          <w:sz w:val="32"/>
          <w:szCs w:val="32"/>
        </w:rPr>
        <w:t>元，占政府采购支出总额的81.75%，其中：授予小微企业合同金额</w:t>
      </w:r>
      <w:r>
        <w:rPr>
          <w:rFonts w:hint="eastAsia" w:eastAsia="仿宋_GB2312"/>
          <w:color w:val="000000" w:themeColor="text1"/>
          <w:kern w:val="0"/>
          <w:sz w:val="32"/>
          <w:szCs w:val="32"/>
          <w:lang w:val="en-US" w:eastAsia="zh-CN"/>
          <w14:textFill>
            <w14:solidFill>
              <w14:schemeClr w14:val="tx1"/>
            </w14:solidFill>
          </w14:textFill>
        </w:rPr>
        <w:t>19</w:t>
      </w:r>
      <w:r>
        <w:rPr>
          <w:rFonts w:hint="eastAsia" w:eastAsia="仿宋_GB2312"/>
          <w:color w:val="000000" w:themeColor="text1"/>
          <w:kern w:val="0"/>
          <w:sz w:val="32"/>
          <w:szCs w:val="32"/>
          <w14:textFill>
            <w14:solidFill>
              <w14:schemeClr w14:val="tx1"/>
            </w14:solidFill>
          </w14:textFill>
        </w:rPr>
        <w:t>.02</w:t>
      </w:r>
      <w:r>
        <w:rPr>
          <w:rFonts w:hint="eastAsia" w:ascii="仿宋_GB2312" w:hAnsi="仿宋_GB2312" w:eastAsia="仿宋_GB2312" w:cs="仿宋_GB2312"/>
          <w:kern w:val="0"/>
          <w:sz w:val="32"/>
          <w:szCs w:val="32"/>
        </w:rPr>
        <w:t>万元，占政府采购支出总额的</w:t>
      </w:r>
      <w:r>
        <w:rPr>
          <w:rFonts w:hint="eastAsia" w:ascii="仿宋_GB2312" w:hAnsi="仿宋_GB2312" w:eastAsia="仿宋_GB2312" w:cs="仿宋_GB2312"/>
          <w:color w:val="000000" w:themeColor="text1"/>
          <w:kern w:val="0"/>
          <w:sz w:val="32"/>
          <w:szCs w:val="32"/>
          <w14:textFill>
            <w14:solidFill>
              <w14:schemeClr w14:val="tx1"/>
            </w14:solidFill>
          </w14:textFill>
        </w:rPr>
        <w:t>81.75%</w:t>
      </w:r>
      <w:r>
        <w:rPr>
          <w:rFonts w:hint="eastAsia" w:ascii="仿宋_GB2312" w:hAnsi="仿宋_GB2312" w:eastAsia="仿宋_GB2312" w:cs="仿宋_GB2312"/>
          <w:kern w:val="0"/>
          <w:sz w:val="32"/>
          <w:szCs w:val="32"/>
        </w:rPr>
        <w:t>；货物采购授予中小企业合同金额占货物支出金额</w:t>
      </w:r>
      <w:r>
        <w:rPr>
          <w:rFonts w:hint="eastAsia" w:ascii="仿宋_GB2312" w:hAnsi="仿宋_GB2312" w:eastAsia="仿宋_GB2312" w:cs="仿宋_GB2312"/>
          <w:color w:val="000000" w:themeColor="text1"/>
          <w:kern w:val="0"/>
          <w:sz w:val="32"/>
          <w:szCs w:val="32"/>
          <w14:textFill>
            <w14:solidFill>
              <w14:schemeClr w14:val="tx1"/>
            </w14:solidFill>
          </w14:textFill>
        </w:rPr>
        <w:t>的100.00%，</w:t>
      </w:r>
      <w:r>
        <w:rPr>
          <w:rFonts w:hint="eastAsia" w:ascii="仿宋_GB2312" w:hAnsi="仿宋_GB2312" w:eastAsia="仿宋_GB2312" w:cs="仿宋_GB2312"/>
          <w:kern w:val="0"/>
          <w:sz w:val="32"/>
          <w:szCs w:val="32"/>
        </w:rPr>
        <w:t>工程采购授予中小企业合同金额占工程支出金额的0.00%，服务采购授予中小企业合同金额占服务支出</w:t>
      </w:r>
      <w:r>
        <w:rPr>
          <w:rFonts w:hint="eastAsia" w:ascii="仿宋_GB2312" w:hAnsi="仿宋_GB2312" w:eastAsia="仿宋_GB2312" w:cs="仿宋_GB2312"/>
          <w:color w:val="000000" w:themeColor="text1"/>
          <w:kern w:val="0"/>
          <w:sz w:val="32"/>
          <w:szCs w:val="32"/>
          <w14:textFill>
            <w14:solidFill>
              <w14:schemeClr w14:val="tx1"/>
            </w14:solidFill>
          </w14:textFill>
        </w:rPr>
        <w:t>金额的90.90%</w:t>
      </w:r>
      <w:r>
        <w:rPr>
          <w:rFonts w:hint="eastAsia" w:ascii="仿宋_GB2312" w:hAnsi="仿宋_GB2312" w:eastAsia="仿宋_GB2312" w:cs="仿宋_GB2312"/>
          <w:kern w:val="0"/>
          <w:sz w:val="32"/>
          <w:szCs w:val="32"/>
        </w:rPr>
        <w:t>。</w:t>
      </w:r>
    </w:p>
    <w:p w14:paraId="213035EF">
      <w:pPr>
        <w:keepNext w:val="0"/>
        <w:keepLines w:val="0"/>
        <w:pageBreakBefore w:val="0"/>
        <w:kinsoku/>
        <w:wordWrap/>
        <w:overflowPunct/>
        <w:topLinePunct w:val="0"/>
        <w:autoSpaceDN/>
        <w:bidi w:val="0"/>
        <w:adjustRightInd/>
        <w:snapToGrid/>
        <w:spacing w:line="560" w:lineRule="exact"/>
        <w:ind w:firstLine="640" w:firstLineChars="200"/>
        <w:jc w:val="both"/>
        <w:textAlignment w:val="auto"/>
        <w:rPr>
          <w:rFonts w:hint="eastAsia" w:ascii="黑体" w:hAnsi="黑体" w:eastAsia="黑体" w:cs="黑体"/>
          <w:kern w:val="0"/>
          <w:sz w:val="32"/>
          <w:szCs w:val="32"/>
        </w:rPr>
      </w:pPr>
      <w:r>
        <w:rPr>
          <w:rFonts w:ascii="黑体" w:hAnsi="黑体" w:eastAsia="黑体" w:cs="黑体"/>
          <w:kern w:val="0"/>
          <w:sz w:val="32"/>
          <w:szCs w:val="32"/>
        </w:rPr>
        <w:t>十三、国有资产占用情况说明</w:t>
      </w:r>
    </w:p>
    <w:p w14:paraId="13FE0E75">
      <w:pPr>
        <w:keepNext w:val="0"/>
        <w:keepLines w:val="0"/>
        <w:pageBreakBefore w:val="0"/>
        <w:kinsoku/>
        <w:wordWrap/>
        <w:overflowPunct/>
        <w:topLinePunct w:val="0"/>
        <w:autoSpaceDN/>
        <w:bidi w:val="0"/>
        <w:adjustRightInd/>
        <w:snapToGrid/>
        <w:spacing w:line="560" w:lineRule="exact"/>
        <w:ind w:firstLine="640" w:firstLineChars="200"/>
        <w:jc w:val="both"/>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内蒙古大兴安岭森林公安局满归分局截至2025年12月31日，本单位共有车辆13辆，其中：副部（省）级及以上领导用车0辆、主要负责人用车0辆、机要通信用车0辆、应急保障用车0辆、执法执勤用车11辆、特种专业技术用车2辆、离退休干部服务用车0辆，其他用车0辆；单价</w:t>
      </w:r>
      <w:r>
        <w:rPr>
          <w:rFonts w:hint="eastAsia" w:eastAsia="仿宋_GB2312"/>
          <w:kern w:val="0"/>
          <w:sz w:val="32"/>
          <w:szCs w:val="32"/>
        </w:rPr>
        <w:t>100</w:t>
      </w:r>
      <w:r>
        <w:rPr>
          <w:rFonts w:hint="eastAsia" w:ascii="仿宋_GB2312" w:hAnsi="仿宋_GB2312" w:eastAsia="仿宋_GB2312" w:cs="仿宋_GB2312"/>
          <w:kern w:val="0"/>
          <w:sz w:val="32"/>
          <w:szCs w:val="32"/>
        </w:rPr>
        <w:t>万元（含）以上的设备（不含车辆）0台（套）。</w:t>
      </w:r>
    </w:p>
    <w:p w14:paraId="2A9845A9">
      <w:pPr>
        <w:keepNext w:val="0"/>
        <w:keepLines w:val="0"/>
        <w:pageBreakBefore w:val="0"/>
        <w:kinsoku/>
        <w:wordWrap/>
        <w:overflowPunct/>
        <w:topLinePunct w:val="0"/>
        <w:autoSpaceDN/>
        <w:bidi w:val="0"/>
        <w:adjustRightInd/>
        <w:snapToGrid/>
        <w:spacing w:line="560" w:lineRule="exact"/>
        <w:ind w:firstLine="640" w:firstLineChars="200"/>
        <w:jc w:val="both"/>
        <w:textAlignment w:val="auto"/>
        <w:rPr>
          <w:rFonts w:hint="eastAsia" w:ascii="黑体" w:hAnsi="黑体" w:eastAsia="黑体" w:cs="黑体"/>
          <w:kern w:val="0"/>
          <w:sz w:val="32"/>
          <w:szCs w:val="32"/>
        </w:rPr>
      </w:pPr>
      <w:r>
        <w:rPr>
          <w:rFonts w:ascii="黑体" w:hAnsi="黑体" w:eastAsia="黑体" w:cs="黑体"/>
          <w:kern w:val="0"/>
          <w:sz w:val="32"/>
          <w:szCs w:val="32"/>
        </w:rPr>
        <w:t>十四、预算绩效情况说明</w:t>
      </w:r>
    </w:p>
    <w:p w14:paraId="064989E8">
      <w:pPr>
        <w:keepNext w:val="0"/>
        <w:keepLines w:val="0"/>
        <w:pageBreakBefore w:val="0"/>
        <w:kinsoku/>
        <w:wordWrap/>
        <w:overflowPunct/>
        <w:topLinePunct w:val="0"/>
        <w:autoSpaceDN/>
        <w:bidi w:val="0"/>
        <w:adjustRightInd/>
        <w:snapToGrid/>
        <w:spacing w:line="560" w:lineRule="exact"/>
        <w:ind w:firstLine="643" w:firstLineChars="200"/>
        <w:jc w:val="both"/>
        <w:textAlignment w:val="auto"/>
        <w:rPr>
          <w:rFonts w:ascii="楷体_GB2312" w:hAnsi="楷体_GB2312" w:eastAsia="楷体_GB2312" w:cs="楷体_GB2312"/>
          <w:b/>
          <w:bCs/>
          <w:kern w:val="0"/>
          <w:sz w:val="32"/>
          <w:szCs w:val="32"/>
        </w:rPr>
      </w:pPr>
      <w:r>
        <w:rPr>
          <w:rFonts w:ascii="楷体_GB2312" w:hAnsi="楷体_GB2312" w:eastAsia="楷体_GB2312" w:cs="楷体_GB2312"/>
          <w:b/>
          <w:bCs/>
          <w:kern w:val="0"/>
          <w:sz w:val="32"/>
          <w:szCs w:val="32"/>
        </w:rPr>
        <w:t>（一）预算绩效管理工作开展情况。</w:t>
      </w:r>
    </w:p>
    <w:p w14:paraId="22D957B6">
      <w:pPr>
        <w:pStyle w:val="19"/>
        <w:keepNext w:val="0"/>
        <w:keepLines w:val="0"/>
        <w:pageBreakBefore w:val="0"/>
        <w:widowControl/>
        <w:shd w:val="clear" w:color="auto" w:fill="FFFFFF"/>
        <w:kinsoku/>
        <w:wordWrap/>
        <w:overflowPunct/>
        <w:topLinePunct w:val="0"/>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内蒙古大兴安岭森林公安局满归分局根据预算绩效管理要求组织对2025年一般公共预算非涉密项目支出全面开展绩效自评，共涉及项目2个，涉及资金40.00万元，占一般公共预算非涉密项目支出总额的100%；</w:t>
      </w:r>
    </w:p>
    <w:p w14:paraId="0A4E4CB3">
      <w:pPr>
        <w:pStyle w:val="19"/>
        <w:keepNext w:val="0"/>
        <w:keepLines w:val="0"/>
        <w:pageBreakBefore w:val="0"/>
        <w:widowControl/>
        <w:shd w:val="clear" w:color="auto" w:fill="FFFFFF"/>
        <w:kinsoku/>
        <w:wordWrap/>
        <w:overflowPunct/>
        <w:topLinePunct w:val="0"/>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组织对“办案（业务）经费项目”、“公安专用装备购置与设施购建项目”等2个项目开展了项目自评，涉及一般公共预算支出40.00万元，无其他类资金项目。其中，对“办案（业务）经费项目”、“公安专用装备购置与设施购建项目”分别开展绩效自评。从评价情况看，以上项目的实施，使公安工作有序开展，基础保障条件得到改善，装备物资得到有力保障，经费对公安工作支撑力强，深层次支持了公安业务决策和科技发展，但仍存在部分项目绩效目标编制不够科学精准、实施较计划有所延迟、效益及满意度分析有待加强等问题。针对上述问题，我单位将进一步夯实预算编制基础，完善绩效目标审核机制，加强责任落实和沟通协调，确保项目有序实施；注重项目绩效总结与满意度调查分析，全面提高资金使用效益。</w:t>
      </w:r>
    </w:p>
    <w:p w14:paraId="0020E4D7">
      <w:pPr>
        <w:keepNext w:val="0"/>
        <w:keepLines w:val="0"/>
        <w:pageBreakBefore w:val="0"/>
        <w:kinsoku/>
        <w:wordWrap/>
        <w:overflowPunct/>
        <w:topLinePunct w:val="0"/>
        <w:autoSpaceDN/>
        <w:bidi w:val="0"/>
        <w:adjustRightInd/>
        <w:snapToGrid/>
        <w:spacing w:line="560" w:lineRule="exact"/>
        <w:ind w:firstLine="643" w:firstLineChars="200"/>
        <w:jc w:val="both"/>
        <w:textAlignment w:val="auto"/>
        <w:rPr>
          <w:rFonts w:ascii="楷体_GB2312" w:hAnsi="楷体_GB2312" w:eastAsia="楷体_GB2312" w:cs="楷体_GB2312"/>
          <w:b/>
          <w:bCs/>
          <w:kern w:val="0"/>
          <w:sz w:val="32"/>
          <w:szCs w:val="32"/>
        </w:rPr>
      </w:pPr>
      <w:r>
        <w:rPr>
          <w:rFonts w:ascii="楷体_GB2312" w:hAnsi="楷体_GB2312" w:eastAsia="楷体_GB2312" w:cs="楷体_GB2312"/>
          <w:b/>
          <w:bCs/>
          <w:kern w:val="0"/>
          <w:sz w:val="32"/>
          <w:szCs w:val="32"/>
        </w:rPr>
        <w:t>（二）单位决算中项目绩效自评结果。</w:t>
      </w:r>
    </w:p>
    <w:p w14:paraId="42349476">
      <w:pPr>
        <w:pStyle w:val="19"/>
        <w:keepNext w:val="0"/>
        <w:keepLines w:val="0"/>
        <w:pageBreakBefore w:val="0"/>
        <w:widowControl/>
        <w:shd w:val="clear" w:color="auto" w:fill="FFFFFF"/>
        <w:kinsoku/>
        <w:wordWrap/>
        <w:overflowPunct/>
        <w:topLinePunct w:val="0"/>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内蒙古大兴安岭森林公安局满归分局2025年度在决算中反映2个一般公共预算非涉密项目的绩效自评结果。</w:t>
      </w:r>
    </w:p>
    <w:p w14:paraId="2C7B01CF">
      <w:pPr>
        <w:pStyle w:val="19"/>
        <w:keepNext w:val="0"/>
        <w:keepLines w:val="0"/>
        <w:pageBreakBefore w:val="0"/>
        <w:widowControl/>
        <w:shd w:val="clear" w:color="auto" w:fill="FFFFFF"/>
        <w:kinsoku/>
        <w:wordWrap/>
        <w:overflowPunct/>
        <w:topLinePunct w:val="0"/>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1.办案（业务）经费项目自评综述：根据年初设定的绩效目标，项目自评得分100.00分。全年预算数为12.00万元，执行数为12.00万元，完成预算的100.00%。项目绩效目标完成情况：我单位严格执行资金管理办法，合理安排资金支出。加大森林公安执法力度，严厉打击乱砍滥伐、偷砍盗伐等破坏森林及野生动物资源等违法行为，加强森林防火，维护了社会稳定，确保森林及野生动物资源安全。发现的主要问题及原因：经费预算编制不够精准。在预算编制过程中，对案件的复杂程度和所需资源估计不足，导致部分办案经费分配不合理，影响了经费支出效率和质量。下一步改进措施：针对以上问题，我们将采取以下改进措施：加强预算编制的科学性和精准性。深入调研各类案件的特点和需求，结合历史数据和实际情况，合理预估办案经费，确保预算编制更加合理、准确。</w:t>
      </w:r>
    </w:p>
    <w:p w14:paraId="69BF8CD9">
      <w:pPr>
        <w:pStyle w:val="19"/>
        <w:widowControl/>
        <w:shd w:val="clear" w:color="auto" w:fill="FFFFFF"/>
        <w:snapToGrid w:val="0"/>
        <w:spacing w:beforeAutospacing="0" w:afterAutospacing="0"/>
        <w:jc w:val="both"/>
        <w:rPr>
          <w:rFonts w:hint="eastAsia" w:ascii="仿宋_GB2312" w:hAnsi="仿宋_GB2312" w:eastAsia="仿宋_GB2312" w:cs="仿宋_GB2312"/>
          <w:color w:val="333333"/>
          <w:sz w:val="32"/>
          <w:szCs w:val="32"/>
          <w:shd w:val="clear" w:color="auto" w:fill="FFFFFF"/>
        </w:rPr>
      </w:pPr>
    </w:p>
    <w:p w14:paraId="3D3CC3F0">
      <w:pPr>
        <w:pStyle w:val="19"/>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2.公安专用装备购置与设施购建项目自评综述：根据年初设定的绩效目标，项目自评得分100分。全年预算数为28.00万元，执行数为28.00万元，完成预算的100.00%。项目绩效目标完成情况：按工作需要购置了森林公安专用设备，加强了对野生动植物资源的保护力度，打击犯罪维护林区社会稳定。森林公安执法办案水平稳步提高，森林公安装备水平逐步加强，人民群众满意度持续增高。截至2025年末，公安专用装备与设施购建项目已完成年度目标和所有绩效指标。</w:t>
      </w:r>
    </w:p>
    <w:p w14:paraId="72916DA1">
      <w:pPr>
        <w:pStyle w:val="19"/>
        <w:keepNext w:val="0"/>
        <w:keepLines w:val="0"/>
        <w:pageBreakBefore w:val="0"/>
        <w:widowControl/>
        <w:numPr>
          <w:ilvl w:val="0"/>
          <w:numId w:val="0"/>
        </w:numPr>
        <w:shd w:val="clear" w:color="auto" w:fill="FFFFFF"/>
        <w:kinsoku/>
        <w:wordWrap/>
        <w:overflowPunct/>
        <w:topLinePunct w:val="0"/>
        <w:autoSpaceDN/>
        <w:bidi w:val="0"/>
        <w:adjustRightInd/>
        <w:snapToGrid/>
        <w:spacing w:beforeAutospacing="0" w:afterAutospacing="0" w:line="240" w:lineRule="auto"/>
        <w:jc w:val="both"/>
        <w:textAlignment w:val="auto"/>
        <w:rPr>
          <w:rFonts w:hint="eastAsia" w:ascii="仿宋_GB2312" w:hAnsi="仿宋_GB2312" w:eastAsia="仿宋_GB2312" w:cs="仿宋_GB2312"/>
          <w:kern w:val="0"/>
          <w:sz w:val="32"/>
          <w:szCs w:val="32"/>
          <w:lang w:val="en-US" w:eastAsia="zh-CN" w:bidi="ar-SA"/>
        </w:rPr>
      </w:pPr>
      <w:r>
        <w:drawing>
          <wp:inline distT="0" distB="0" distL="114300" distR="114300">
            <wp:extent cx="5613400" cy="4787900"/>
            <wp:effectExtent l="0" t="0" r="10160" b="1270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7"/>
                    <a:stretch>
                      <a:fillRect/>
                    </a:stretch>
                  </pic:blipFill>
                  <pic:spPr>
                    <a:xfrm>
                      <a:off x="0" y="0"/>
                      <a:ext cx="5613400" cy="4787900"/>
                    </a:xfrm>
                    <a:prstGeom prst="rect">
                      <a:avLst/>
                    </a:prstGeom>
                    <a:noFill/>
                    <a:ln>
                      <a:noFill/>
                    </a:ln>
                  </pic:spPr>
                </pic:pic>
              </a:graphicData>
            </a:graphic>
          </wp:inline>
        </w:drawing>
      </w:r>
    </w:p>
    <w:p w14:paraId="123472A9">
      <w:pPr>
        <w:pStyle w:val="19"/>
        <w:widowControl/>
        <w:shd w:val="clear" w:color="auto" w:fill="FFFFFF"/>
        <w:spacing w:beforeAutospacing="0" w:afterAutospacing="0"/>
        <w:jc w:val="both"/>
        <w:rPr>
          <w:rFonts w:hint="eastAsia" w:ascii="仿宋_GB2312" w:hAnsi="仿宋_GB2312" w:eastAsia="仿宋_GB2312" w:cs="仿宋_GB2312"/>
          <w:color w:val="333333"/>
          <w:sz w:val="32"/>
          <w:szCs w:val="32"/>
          <w:shd w:val="clear" w:color="auto" w:fill="FFFFFF"/>
        </w:rPr>
      </w:pPr>
      <w:r>
        <w:drawing>
          <wp:inline distT="0" distB="0" distL="114300" distR="114300">
            <wp:extent cx="5613400" cy="4787900"/>
            <wp:effectExtent l="0" t="0" r="10160" b="12700"/>
            <wp:docPr id="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7"/>
                    <pic:cNvPicPr>
                      <a:picLocks noChangeAspect="1"/>
                    </pic:cNvPicPr>
                  </pic:nvPicPr>
                  <pic:blipFill>
                    <a:blip r:embed="rId8"/>
                    <a:stretch>
                      <a:fillRect/>
                    </a:stretch>
                  </pic:blipFill>
                  <pic:spPr>
                    <a:xfrm>
                      <a:off x="0" y="0"/>
                      <a:ext cx="5613400" cy="4787900"/>
                    </a:xfrm>
                    <a:prstGeom prst="rect">
                      <a:avLst/>
                    </a:prstGeom>
                    <a:noFill/>
                    <a:ln>
                      <a:noFill/>
                    </a:ln>
                  </pic:spPr>
                </pic:pic>
              </a:graphicData>
            </a:graphic>
          </wp:inline>
        </w:drawing>
      </w:r>
    </w:p>
    <w:p w14:paraId="17A85F07">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_GB2312" w:hAnsi="楷体_GB2312" w:eastAsia="楷体_GB2312" w:cs="楷体_GB2312"/>
          <w:b/>
          <w:bCs/>
          <w:kern w:val="0"/>
          <w:sz w:val="32"/>
          <w:szCs w:val="32"/>
        </w:rPr>
      </w:pPr>
      <w:r>
        <w:rPr>
          <w:rFonts w:ascii="楷体_GB2312" w:hAnsi="楷体_GB2312" w:eastAsia="楷体_GB2312" w:cs="楷体_GB2312"/>
          <w:b/>
          <w:bCs/>
          <w:kern w:val="0"/>
          <w:sz w:val="32"/>
          <w:szCs w:val="32"/>
        </w:rPr>
        <w:t>（三）</w:t>
      </w:r>
      <w:r>
        <w:rPr>
          <w:rFonts w:hint="eastAsia" w:ascii="楷体_GB2312" w:hAnsi="楷体_GB2312" w:eastAsia="楷体_GB2312" w:cs="楷体_GB2312"/>
          <w:b/>
          <w:bCs/>
          <w:kern w:val="0"/>
          <w:sz w:val="32"/>
          <w:szCs w:val="32"/>
          <w:lang w:val="en-US" w:eastAsia="zh-CN"/>
        </w:rPr>
        <w:t>单位</w:t>
      </w:r>
      <w:r>
        <w:rPr>
          <w:rFonts w:ascii="楷体_GB2312" w:hAnsi="楷体_GB2312" w:eastAsia="楷体_GB2312" w:cs="楷体_GB2312"/>
          <w:b/>
          <w:bCs/>
          <w:kern w:val="0"/>
          <w:sz w:val="32"/>
          <w:szCs w:val="32"/>
        </w:rPr>
        <w:t>项目绩效评价结果。</w:t>
      </w:r>
    </w:p>
    <w:p w14:paraId="14A4073F">
      <w:pPr>
        <w:pStyle w:val="19"/>
        <w:keepNext w:val="0"/>
        <w:keepLines w:val="0"/>
        <w:pageBreakBefore w:val="0"/>
        <w:widowControl/>
        <w:shd w:val="clear" w:color="auto" w:fill="FFFFFF"/>
        <w:kinsoku/>
        <w:wordWrap/>
        <w:overflowPunct/>
        <w:topLinePunct w:val="0"/>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1.办案（业务）经费项目绩效评价综合得分为100.00分，绩效评价结果为“优”。</w:t>
      </w:r>
    </w:p>
    <w:p w14:paraId="36C9D11E">
      <w:pPr>
        <w:pStyle w:val="19"/>
        <w:keepNext w:val="0"/>
        <w:keepLines w:val="0"/>
        <w:pageBreakBefore w:val="0"/>
        <w:widowControl/>
        <w:shd w:val="clear" w:color="auto" w:fill="FFFFFF"/>
        <w:kinsoku/>
        <w:wordWrap/>
        <w:overflowPunct/>
        <w:topLinePunct w:val="0"/>
        <w:autoSpaceDN/>
        <w:bidi w:val="0"/>
        <w:adjustRightInd/>
        <w:snapToGrid/>
        <w:spacing w:beforeAutospacing="0" w:afterAutospacing="0" w:line="560" w:lineRule="exact"/>
        <w:ind w:firstLine="640" w:firstLineChars="200"/>
        <w:jc w:val="both"/>
        <w:textAlignment w:val="auto"/>
        <w:rPr>
          <w:rFonts w:hint="default"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2.公安专用装备购置与设施购建项目绩效评价综合得分为100.00分，绩效评价结果为“优”。</w:t>
      </w:r>
    </w:p>
    <w:p w14:paraId="45720A5E">
      <w:pPr>
        <w:pStyle w:val="19"/>
        <w:keepNext w:val="0"/>
        <w:keepLines w:val="0"/>
        <w:pageBreakBefore w:val="0"/>
        <w:widowControl/>
        <w:shd w:val="clear" w:color="auto" w:fill="FFFFFF"/>
        <w:kinsoku/>
        <w:wordWrap/>
        <w:overflowPunct/>
        <w:topLinePunct w:val="0"/>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本单位所有项目绩效评价均为自评。</w:t>
      </w:r>
    </w:p>
    <w:p w14:paraId="7C14A153">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eastAsia="仿宋_GB2312"/>
          <w:color w:val="FF0000"/>
          <w:kern w:val="0"/>
          <w:sz w:val="32"/>
          <w:szCs w:val="32"/>
        </w:rPr>
      </w:pPr>
      <w:r>
        <w:rPr>
          <w:rFonts w:hint="eastAsia" w:ascii="楷体_GB2312" w:hAnsi="楷体_GB2312" w:eastAsia="楷体_GB2312" w:cs="楷体_GB2312"/>
          <w:b/>
          <w:bCs/>
          <w:kern w:val="0"/>
          <w:sz w:val="32"/>
          <w:szCs w:val="32"/>
        </w:rPr>
        <w:t>（四）单位预算绩效管理制度和核心绩效指标标准体系建设情况。</w:t>
      </w:r>
    </w:p>
    <w:p w14:paraId="7484942E">
      <w:pPr>
        <w:pStyle w:val="19"/>
        <w:keepNext w:val="0"/>
        <w:keepLines w:val="0"/>
        <w:pageBreakBefore w:val="0"/>
        <w:widowControl/>
        <w:shd w:val="clear" w:color="auto" w:fill="FFFFFF"/>
        <w:kinsoku/>
        <w:wordWrap/>
        <w:overflowPunct/>
        <w:topLinePunct w:val="0"/>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为深入落实全面预算绩效管理改革要求，提升公安财政资金配置效率和使用效益，紧扣维护安全稳定、打击违法犯罪、深化社会治理、服务人民群众主责主业，我局稳步推进预算绩效管理制度和核心绩效指标标准体系建设，全面构建全过程、全覆盖、规范化的预算绩效管理工作格局。</w:t>
      </w:r>
    </w:p>
    <w:p w14:paraId="148F3CDC">
      <w:pPr>
        <w:pStyle w:val="19"/>
        <w:keepNext w:val="0"/>
        <w:keepLines w:val="0"/>
        <w:pageBreakBefore w:val="0"/>
        <w:widowControl/>
        <w:shd w:val="clear" w:color="auto" w:fill="FFFFFF"/>
        <w:kinsoku/>
        <w:wordWrap/>
        <w:overflowPunct/>
        <w:topLinePunct w:val="0"/>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一是健全预算绩效管理制度体系。我局不断完善绩效管理工作机制，形成以绩效管理实施办法为主体，事前绩效评估、绩效目标管理、运行监控、绩效评价等配套制度为支撑的完整制度体系。二是构建公安特色核心绩效指标标准体系。严格按照产出、效益、满意度、管理四大维度，细化数量、质量、时效、成本、社会效益等指标内容，围绕重点业务，科学设置贴合公安主业的核心指标。三是强化绩效监管与结果刚性应用。常态化开展资金执行和绩效目标“双监控”，对执行缓慢、绩效偏离的项目及时预警整改。</w:t>
      </w:r>
    </w:p>
    <w:p w14:paraId="4FE6C508">
      <w:pPr>
        <w:pStyle w:val="19"/>
        <w:keepNext w:val="0"/>
        <w:keepLines w:val="0"/>
        <w:pageBreakBefore w:val="0"/>
        <w:widowControl/>
        <w:shd w:val="clear" w:color="auto" w:fill="FFFFFF"/>
        <w:kinsoku/>
        <w:wordWrap/>
        <w:overflowPunct/>
        <w:topLinePunct w:val="0"/>
        <w:autoSpaceDN/>
        <w:bidi w:val="0"/>
        <w:adjustRightInd/>
        <w:snapToGrid/>
        <w:spacing w:beforeAutospacing="0" w:afterAutospacing="0" w:line="560" w:lineRule="exact"/>
        <w:ind w:firstLine="640" w:firstLineChars="200"/>
        <w:jc w:val="both"/>
        <w:textAlignment w:val="auto"/>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下一步，我局将持续夯实绩效管理基础，细化指标标准、强化制度落地、深化结果运用，全面提升公安预算绩效管理精细化、规范化水平，以精准高效的经费保障助推公安工作高质量发展。</w:t>
      </w:r>
    </w:p>
    <w:p w14:paraId="39CF8F5B">
      <w:pPr>
        <w:pStyle w:val="19"/>
        <w:keepNext w:val="0"/>
        <w:keepLines w:val="0"/>
        <w:pageBreakBefore w:val="0"/>
        <w:widowControl/>
        <w:shd w:val="clear" w:color="auto" w:fill="FFFFFF"/>
        <w:kinsoku/>
        <w:wordWrap/>
        <w:overflowPunct/>
        <w:topLinePunct w:val="0"/>
        <w:autoSpaceDN/>
        <w:bidi w:val="0"/>
        <w:adjustRightInd/>
        <w:snapToGrid/>
        <w:spacing w:beforeAutospacing="0" w:afterAutospacing="0" w:line="560" w:lineRule="exact"/>
        <w:jc w:val="both"/>
        <w:textAlignment w:val="auto"/>
        <w:rPr>
          <w:rFonts w:hint="eastAsia" w:ascii="仿宋_GB2312" w:hAnsi="仿宋_GB2312" w:eastAsia="仿宋_GB2312" w:cs="仿宋_GB2312"/>
          <w:kern w:val="0"/>
          <w:sz w:val="32"/>
          <w:szCs w:val="32"/>
          <w:lang w:val="en-US" w:eastAsia="zh-CN" w:bidi="ar-SA"/>
        </w:rPr>
      </w:pPr>
    </w:p>
    <w:p w14:paraId="0BA03ECE">
      <w:pPr>
        <w:pStyle w:val="3"/>
        <w:keepNext w:val="0"/>
        <w:keepLines w:val="0"/>
        <w:numPr>
          <w:ilvl w:val="0"/>
          <w:numId w:val="2"/>
        </w:numPr>
        <w:spacing w:before="0" w:after="0" w:line="600" w:lineRule="exact"/>
        <w:ind w:left="0" w:leftChars="0" w:firstLine="880" w:firstLineChars="200"/>
        <w:jc w:val="center"/>
        <w:rPr>
          <w:rFonts w:hint="eastAsia" w:ascii="方正小标宋简体" w:hAnsi="方正小标宋简体" w:eastAsia="方正小标宋简体" w:cs="方正小标宋简体"/>
          <w:b w:val="0"/>
          <w:bCs w:val="0"/>
          <w:kern w:val="0"/>
          <w:sz w:val="44"/>
          <w:szCs w:val="44"/>
        </w:rPr>
      </w:pPr>
      <w:r>
        <w:rPr>
          <w:rFonts w:hint="eastAsia" w:ascii="方正小标宋简体" w:hAnsi="方正小标宋简体" w:eastAsia="方正小标宋简体" w:cs="方正小标宋简体"/>
          <w:b w:val="0"/>
          <w:bCs w:val="0"/>
          <w:kern w:val="0"/>
          <w:sz w:val="44"/>
          <w:szCs w:val="44"/>
        </w:rPr>
        <w:t>名词解释</w:t>
      </w:r>
    </w:p>
    <w:p w14:paraId="6398745F">
      <w:pPr>
        <w:numPr>
          <w:ilvl w:val="0"/>
          <w:numId w:val="0"/>
        </w:numPr>
        <w:ind w:leftChars="200"/>
        <w:jc w:val="both"/>
      </w:pPr>
    </w:p>
    <w:p w14:paraId="0CE565D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eastAsia="仿宋_GB2312"/>
          <w:kern w:val="0"/>
          <w:sz w:val="32"/>
          <w:szCs w:val="32"/>
        </w:rPr>
      </w:pPr>
      <w:r>
        <w:rPr>
          <w:rFonts w:hint="eastAsia" w:ascii="黑体" w:hAnsi="黑体" w:eastAsia="黑体" w:cs="黑体"/>
          <w:kern w:val="0"/>
          <w:sz w:val="32"/>
          <w:szCs w:val="32"/>
        </w:rPr>
        <w:t>一、财政拨款收入：</w:t>
      </w:r>
      <w:r>
        <w:rPr>
          <w:rFonts w:eastAsia="仿宋_GB2312"/>
          <w:kern w:val="0"/>
          <w:sz w:val="32"/>
          <w:szCs w:val="32"/>
        </w:rPr>
        <w:t>从同级财政部门取得的各类财政拨款，包括一般公共预算财政拨款、政府性基金预算财政拨款、国有资本经营预算财政拨款。</w:t>
      </w:r>
    </w:p>
    <w:p w14:paraId="38CF986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eastAsia="仿宋_GB2312"/>
          <w:kern w:val="0"/>
          <w:sz w:val="32"/>
          <w:szCs w:val="32"/>
        </w:rPr>
      </w:pPr>
      <w:r>
        <w:rPr>
          <w:rFonts w:hint="eastAsia" w:ascii="黑体" w:hAnsi="黑体" w:eastAsia="黑体" w:cs="黑体"/>
          <w:kern w:val="0"/>
          <w:sz w:val="32"/>
          <w:szCs w:val="32"/>
        </w:rPr>
        <w:t>二、上级补助收入：</w:t>
      </w:r>
      <w:r>
        <w:rPr>
          <w:rFonts w:eastAsia="仿宋_GB2312"/>
          <w:kern w:val="0"/>
          <w:sz w:val="32"/>
          <w:szCs w:val="32"/>
        </w:rPr>
        <w:t>指事业单位从主管部门和上级单位取得的非财政补助收入。</w:t>
      </w:r>
    </w:p>
    <w:p w14:paraId="4AB0AC0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eastAsia="仿宋_GB2312"/>
          <w:kern w:val="0"/>
          <w:sz w:val="32"/>
          <w:szCs w:val="32"/>
        </w:rPr>
      </w:pPr>
      <w:r>
        <w:rPr>
          <w:rFonts w:hint="eastAsia" w:ascii="黑体" w:hAnsi="黑体" w:eastAsia="黑体" w:cs="黑体"/>
          <w:kern w:val="0"/>
          <w:sz w:val="32"/>
          <w:szCs w:val="32"/>
        </w:rPr>
        <w:t>三、事业收入：</w:t>
      </w:r>
      <w:r>
        <w:rPr>
          <w:rFonts w:eastAsia="仿宋_GB2312"/>
          <w:kern w:val="0"/>
          <w:sz w:val="32"/>
          <w:szCs w:val="32"/>
        </w:rPr>
        <w:t>指事业单位开展专业业务活动及其辅助活动取得的收入。</w:t>
      </w:r>
    </w:p>
    <w:p w14:paraId="793A941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eastAsia="仿宋_GB2312"/>
          <w:kern w:val="0"/>
          <w:sz w:val="32"/>
          <w:szCs w:val="32"/>
        </w:rPr>
      </w:pPr>
      <w:r>
        <w:rPr>
          <w:rFonts w:hint="eastAsia" w:ascii="黑体" w:hAnsi="黑体" w:eastAsia="黑体" w:cs="黑体"/>
          <w:kern w:val="0"/>
          <w:sz w:val="32"/>
          <w:szCs w:val="32"/>
        </w:rPr>
        <w:t>四、经营收入：</w:t>
      </w:r>
      <w:r>
        <w:rPr>
          <w:rFonts w:eastAsia="仿宋_GB2312"/>
          <w:kern w:val="0"/>
          <w:sz w:val="32"/>
          <w:szCs w:val="32"/>
        </w:rPr>
        <w:t>指事业单位在专业业务活动及其辅助活动之外开展非独立核算经营活动取得的收入。</w:t>
      </w:r>
    </w:p>
    <w:p w14:paraId="419309F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eastAsia="仿宋_GB2312"/>
          <w:kern w:val="0"/>
          <w:sz w:val="32"/>
          <w:szCs w:val="32"/>
        </w:rPr>
      </w:pPr>
      <w:r>
        <w:rPr>
          <w:rFonts w:hint="eastAsia" w:ascii="黑体" w:hAnsi="黑体" w:eastAsia="黑体" w:cs="黑体"/>
          <w:kern w:val="0"/>
          <w:sz w:val="32"/>
          <w:szCs w:val="32"/>
        </w:rPr>
        <w:t>五、附属单位上缴收入：</w:t>
      </w:r>
      <w:r>
        <w:rPr>
          <w:rFonts w:eastAsia="仿宋_GB2312"/>
          <w:kern w:val="0"/>
          <w:sz w:val="32"/>
          <w:szCs w:val="32"/>
        </w:rPr>
        <w:t>指事业单位取得附属独立核算单位按照有关规定上缴的收入。</w:t>
      </w:r>
    </w:p>
    <w:p w14:paraId="06E3BED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eastAsia="仿宋_GB2312"/>
          <w:kern w:val="0"/>
          <w:sz w:val="32"/>
          <w:szCs w:val="32"/>
        </w:rPr>
      </w:pPr>
      <w:r>
        <w:rPr>
          <w:rFonts w:hint="eastAsia" w:ascii="黑体" w:hAnsi="黑体" w:eastAsia="黑体" w:cs="黑体"/>
          <w:kern w:val="0"/>
          <w:sz w:val="32"/>
          <w:szCs w:val="32"/>
        </w:rPr>
        <w:t>六、其他收入：</w:t>
      </w:r>
      <w:r>
        <w:rPr>
          <w:rFonts w:eastAsia="仿宋_GB2312"/>
          <w:kern w:val="0"/>
          <w:sz w:val="32"/>
          <w:szCs w:val="32"/>
        </w:rPr>
        <w:t>取得的除上述“财政拨款收入”、“上级补助收入”、“事业收入”、“经营收入”、“附属单位上缴收入”等以外的各项收入。</w:t>
      </w:r>
    </w:p>
    <w:p w14:paraId="1282334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eastAsia="仿宋_GB2312"/>
          <w:kern w:val="0"/>
          <w:sz w:val="32"/>
          <w:szCs w:val="32"/>
        </w:rPr>
      </w:pPr>
      <w:r>
        <w:rPr>
          <w:rFonts w:hint="eastAsia" w:ascii="黑体" w:hAnsi="黑体" w:eastAsia="黑体" w:cs="黑体"/>
          <w:kern w:val="0"/>
          <w:sz w:val="32"/>
          <w:szCs w:val="32"/>
        </w:rPr>
        <w:t>七、使用非财政拨款结余（含专用结余）：</w:t>
      </w:r>
      <w:r>
        <w:rPr>
          <w:rFonts w:hint="eastAsia" w:eastAsia="仿宋_GB2312"/>
          <w:kern w:val="0"/>
          <w:sz w:val="32"/>
          <w:szCs w:val="32"/>
        </w:rPr>
        <w:t>指事业单位按照预算管理要求使用非财政拨款结余弥补收支差额的金额，以及使用专用结余安排支出的金额。</w:t>
      </w:r>
    </w:p>
    <w:p w14:paraId="506F1C5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eastAsia="仿宋_GB2312"/>
          <w:kern w:val="0"/>
          <w:sz w:val="32"/>
          <w:szCs w:val="32"/>
        </w:rPr>
      </w:pPr>
      <w:r>
        <w:rPr>
          <w:rFonts w:hint="eastAsia" w:ascii="黑体" w:hAnsi="黑体" w:eastAsia="黑体" w:cs="黑体"/>
          <w:kern w:val="0"/>
          <w:sz w:val="32"/>
          <w:szCs w:val="32"/>
        </w:rPr>
        <w:t>八、年初结转和结余：</w:t>
      </w:r>
      <w:r>
        <w:rPr>
          <w:rFonts w:eastAsia="仿宋_GB2312"/>
          <w:kern w:val="0"/>
          <w:sz w:val="32"/>
          <w:szCs w:val="32"/>
        </w:rPr>
        <w:t>指单位上年结转本年使用的基本支出结转、项目支出结转和结余、经营结余。</w:t>
      </w:r>
    </w:p>
    <w:p w14:paraId="04ABE27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eastAsia="仿宋_GB2312"/>
          <w:kern w:val="0"/>
          <w:sz w:val="32"/>
          <w:szCs w:val="32"/>
        </w:rPr>
      </w:pPr>
      <w:r>
        <w:rPr>
          <w:rFonts w:hint="eastAsia" w:ascii="黑体" w:hAnsi="黑体" w:eastAsia="黑体" w:cs="黑体"/>
          <w:kern w:val="0"/>
          <w:sz w:val="32"/>
          <w:szCs w:val="32"/>
        </w:rPr>
        <w:t>九、结余分配：</w:t>
      </w:r>
      <w:r>
        <w:rPr>
          <w:rFonts w:eastAsia="仿宋_GB2312"/>
          <w:kern w:val="0"/>
          <w:sz w:val="32"/>
          <w:szCs w:val="32"/>
        </w:rPr>
        <w:t>指事业单位按规定缴纳企业所得税以及从非财政拨款结余或经营结余中提取各类结余的情况。</w:t>
      </w:r>
    </w:p>
    <w:p w14:paraId="629B559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eastAsia="仿宋_GB2312"/>
          <w:kern w:val="0"/>
          <w:sz w:val="32"/>
          <w:szCs w:val="32"/>
        </w:rPr>
      </w:pPr>
      <w:r>
        <w:rPr>
          <w:rFonts w:hint="eastAsia" w:ascii="黑体" w:hAnsi="黑体" w:eastAsia="黑体" w:cs="黑体"/>
          <w:kern w:val="0"/>
          <w:sz w:val="32"/>
          <w:szCs w:val="32"/>
        </w:rPr>
        <w:t>十、年末结转和结余资金：</w:t>
      </w:r>
      <w:r>
        <w:rPr>
          <w:rFonts w:hint="eastAsia" w:eastAsia="仿宋_GB2312"/>
          <w:kern w:val="0"/>
          <w:sz w:val="32"/>
          <w:szCs w:val="32"/>
        </w:rPr>
        <w:t>指单位结转下年的基本支出结转、项目支出结转和结余、经营结余。</w:t>
      </w:r>
    </w:p>
    <w:p w14:paraId="0EA4C38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eastAsia="仿宋_GB2312"/>
          <w:kern w:val="0"/>
          <w:sz w:val="32"/>
          <w:szCs w:val="32"/>
        </w:rPr>
      </w:pPr>
      <w:r>
        <w:rPr>
          <w:rFonts w:hint="eastAsia" w:ascii="黑体" w:hAnsi="黑体" w:eastAsia="黑体" w:cs="黑体"/>
          <w:kern w:val="0"/>
          <w:sz w:val="32"/>
          <w:szCs w:val="32"/>
        </w:rPr>
        <w:t>十一、基本支出：</w:t>
      </w:r>
      <w:r>
        <w:rPr>
          <w:rFonts w:eastAsia="仿宋_GB2312"/>
          <w:kern w:val="0"/>
          <w:sz w:val="32"/>
          <w:szCs w:val="32"/>
        </w:rPr>
        <w:t>指为保障机构正常运转、完成日常工作任务所发生的支出，包括人员经费和公用经费。</w:t>
      </w:r>
    </w:p>
    <w:p w14:paraId="5BBE5A9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eastAsia="仿宋_GB2312"/>
          <w:kern w:val="0"/>
          <w:sz w:val="32"/>
          <w:szCs w:val="32"/>
        </w:rPr>
      </w:pPr>
      <w:r>
        <w:rPr>
          <w:rFonts w:hint="eastAsia" w:ascii="黑体" w:hAnsi="黑体" w:eastAsia="黑体" w:cs="黑体"/>
          <w:kern w:val="0"/>
          <w:sz w:val="32"/>
          <w:szCs w:val="32"/>
        </w:rPr>
        <w:t>十二、项目支出：</w:t>
      </w:r>
      <w:r>
        <w:rPr>
          <w:rFonts w:eastAsia="仿宋_GB2312"/>
          <w:kern w:val="0"/>
          <w:sz w:val="32"/>
          <w:szCs w:val="32"/>
        </w:rPr>
        <w:t>指在为完成特定的工作任务和事业发展目标所发生的支出。</w:t>
      </w:r>
    </w:p>
    <w:p w14:paraId="37149BC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eastAsia="仿宋_GB2312"/>
          <w:kern w:val="0"/>
          <w:sz w:val="32"/>
          <w:szCs w:val="32"/>
        </w:rPr>
      </w:pPr>
      <w:r>
        <w:rPr>
          <w:rFonts w:hint="eastAsia" w:ascii="黑体" w:hAnsi="黑体" w:eastAsia="黑体" w:cs="黑体"/>
          <w:kern w:val="0"/>
          <w:sz w:val="32"/>
          <w:szCs w:val="32"/>
        </w:rPr>
        <w:t>十三、上缴上级支出：</w:t>
      </w:r>
      <w:r>
        <w:rPr>
          <w:rFonts w:eastAsia="仿宋_GB2312"/>
          <w:kern w:val="0"/>
          <w:sz w:val="32"/>
          <w:szCs w:val="32"/>
        </w:rPr>
        <w:t>指事业单位按照财政部门和主管部门的规定上缴上级单位的支出。</w:t>
      </w:r>
    </w:p>
    <w:p w14:paraId="68EF3D9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eastAsia="仿宋_GB2312"/>
          <w:kern w:val="0"/>
          <w:sz w:val="32"/>
          <w:szCs w:val="32"/>
        </w:rPr>
      </w:pPr>
      <w:r>
        <w:rPr>
          <w:rFonts w:hint="eastAsia" w:ascii="黑体" w:hAnsi="黑体" w:eastAsia="黑体" w:cs="黑体"/>
          <w:kern w:val="0"/>
          <w:sz w:val="32"/>
          <w:szCs w:val="32"/>
        </w:rPr>
        <w:t>十四、经营支出：</w:t>
      </w:r>
      <w:r>
        <w:rPr>
          <w:rFonts w:eastAsia="仿宋_GB2312"/>
          <w:kern w:val="0"/>
          <w:sz w:val="32"/>
          <w:szCs w:val="32"/>
        </w:rPr>
        <w:t>指事业单位在专业业务活动及其辅助活动之外开展非独立核算经营活动发生的支出。</w:t>
      </w:r>
    </w:p>
    <w:p w14:paraId="3AC910A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eastAsia="仿宋_GB2312"/>
          <w:kern w:val="0"/>
          <w:sz w:val="32"/>
          <w:szCs w:val="32"/>
        </w:rPr>
      </w:pPr>
      <w:r>
        <w:rPr>
          <w:rFonts w:hint="eastAsia" w:ascii="黑体" w:hAnsi="黑体" w:eastAsia="黑体" w:cs="黑体"/>
          <w:kern w:val="0"/>
          <w:sz w:val="32"/>
          <w:szCs w:val="32"/>
        </w:rPr>
        <w:t>十五、对附属单位补助支出：</w:t>
      </w:r>
      <w:r>
        <w:rPr>
          <w:rFonts w:eastAsia="仿宋_GB2312"/>
          <w:kern w:val="0"/>
          <w:sz w:val="32"/>
          <w:szCs w:val="32"/>
        </w:rPr>
        <w:t>指事业单位用财政拨款收入之外的收入对附属单位补助发生的支出。</w:t>
      </w:r>
    </w:p>
    <w:p w14:paraId="644B56A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eastAsia="仿宋_GB2312"/>
          <w:kern w:val="0"/>
          <w:sz w:val="32"/>
          <w:szCs w:val="32"/>
        </w:rPr>
      </w:pPr>
      <w:r>
        <w:rPr>
          <w:rFonts w:hint="eastAsia" w:ascii="黑体" w:hAnsi="黑体" w:eastAsia="黑体" w:cs="黑体"/>
          <w:kern w:val="0"/>
          <w:sz w:val="32"/>
          <w:szCs w:val="32"/>
        </w:rPr>
        <w:t>十六、“三公”经费：</w:t>
      </w:r>
      <w:r>
        <w:rPr>
          <w:rFonts w:eastAsia="仿宋_GB2312"/>
          <w:kern w:val="0"/>
          <w:sz w:val="32"/>
          <w:szCs w:val="32"/>
        </w:rPr>
        <w:t>指部门（单位）用财政拨款安排的因公出国（境）费、公务用车购置及运行维护费和公务接待费。其中，因公出国（境）费反映部门（单位）)公务出国（境）的国际旅费、国外城市间交通费、住宿费、伙食费、培训费、公杂费等支出；公务用车购置及运行维护费反映部门（单位）公务用车购置支出（含车辆购置税、牌照费）以及按规定保留的公务用车燃料费、维修费、过路过桥费、保险费、安全奖励费用等支出；公务接待费反映部门（单位）按规定开支的各类公务接待（含外宾接待）费用。</w:t>
      </w:r>
    </w:p>
    <w:p w14:paraId="3355809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方正小标宋简体" w:hAnsi="方正小标宋简体" w:eastAsia="方正小标宋简体" w:cs="方正小标宋简体"/>
          <w:b w:val="0"/>
          <w:bCs w:val="0"/>
          <w:kern w:val="0"/>
          <w:sz w:val="44"/>
          <w:szCs w:val="44"/>
          <w:lang w:val="en-US" w:eastAsia="zh-CN"/>
        </w:rPr>
      </w:pPr>
      <w:r>
        <w:rPr>
          <w:rFonts w:hint="eastAsia" w:ascii="黑体" w:hAnsi="黑体" w:eastAsia="黑体" w:cs="黑体"/>
          <w:kern w:val="0"/>
          <w:sz w:val="32"/>
          <w:szCs w:val="32"/>
        </w:rPr>
        <w:t>十七、机关运行经费：</w:t>
      </w:r>
      <w:r>
        <w:rPr>
          <w:rFonts w:eastAsia="仿宋_GB2312"/>
          <w:kern w:val="0"/>
          <w:sz w:val="32"/>
          <w:szCs w:val="32"/>
        </w:rPr>
        <w:t>指部门（单位）使用一般公共预算安排的基本支出中的日常公用经费支出，包括办公及印刷费、邮电费、差旅费、会议费、福利费、日常维修费、专用材料及一般设备购置费、办公用房水电费、办公用房取暖费、办公用房物业管理费、公务用车运行维护费及其他费用等。</w:t>
      </w:r>
    </w:p>
    <w:p w14:paraId="4390CA75">
      <w:pPr>
        <w:pStyle w:val="3"/>
        <w:keepNext w:val="0"/>
        <w:keepLines w:val="0"/>
        <w:numPr>
          <w:ilvl w:val="0"/>
          <w:numId w:val="0"/>
        </w:numPr>
        <w:spacing w:before="0" w:after="0" w:line="600" w:lineRule="exact"/>
        <w:jc w:val="both"/>
        <w:rPr>
          <w:rFonts w:hint="eastAsia" w:ascii="方正小标宋简体" w:hAnsi="方正小标宋简体" w:eastAsia="方正小标宋简体" w:cs="方正小标宋简体"/>
          <w:b w:val="0"/>
          <w:bCs w:val="0"/>
          <w:kern w:val="0"/>
          <w:sz w:val="44"/>
          <w:szCs w:val="44"/>
          <w:lang w:val="en-US" w:eastAsia="zh-CN"/>
        </w:rPr>
      </w:pPr>
    </w:p>
    <w:p w14:paraId="3BC26EB9">
      <w:pPr>
        <w:pStyle w:val="3"/>
        <w:keepNext w:val="0"/>
        <w:keepLines w:val="0"/>
        <w:numPr>
          <w:ilvl w:val="0"/>
          <w:numId w:val="0"/>
        </w:numPr>
        <w:spacing w:before="0" w:after="0" w:line="600" w:lineRule="exact"/>
        <w:jc w:val="both"/>
        <w:rPr>
          <w:rFonts w:hint="eastAsia" w:ascii="方正小标宋简体" w:hAnsi="方正小标宋简体" w:eastAsia="方正小标宋简体" w:cs="方正小标宋简体"/>
          <w:b w:val="0"/>
          <w:bCs w:val="0"/>
          <w:kern w:val="0"/>
          <w:sz w:val="44"/>
          <w:szCs w:val="44"/>
        </w:rPr>
      </w:pPr>
      <w:r>
        <w:rPr>
          <w:rFonts w:hint="eastAsia" w:ascii="方正小标宋简体" w:hAnsi="方正小标宋简体" w:eastAsia="方正小标宋简体" w:cs="方正小标宋简体"/>
          <w:b w:val="0"/>
          <w:bCs w:val="0"/>
          <w:kern w:val="0"/>
          <w:sz w:val="44"/>
          <w:szCs w:val="44"/>
          <w:lang w:val="en-US" w:eastAsia="zh-CN"/>
        </w:rPr>
        <w:t>第四部分</w:t>
      </w:r>
      <w:r>
        <w:rPr>
          <w:rFonts w:hint="eastAsia" w:ascii="方正小标宋简体" w:hAnsi="方正小标宋简体" w:eastAsia="方正小标宋简体" w:cs="方正小标宋简体"/>
          <w:b w:val="0"/>
          <w:bCs w:val="0"/>
          <w:kern w:val="0"/>
          <w:sz w:val="44"/>
          <w:szCs w:val="44"/>
        </w:rPr>
        <w:t xml:space="preserve"> 决算公开联系方式及信息反馈渠道</w:t>
      </w:r>
    </w:p>
    <w:p w14:paraId="74A3B07F">
      <w:pPr>
        <w:numPr>
          <w:ilvl w:val="0"/>
          <w:numId w:val="0"/>
        </w:numPr>
        <w:ind w:leftChars="200"/>
        <w:jc w:val="both"/>
        <w:rPr>
          <w:rFonts w:hint="eastAsia"/>
        </w:rPr>
      </w:pPr>
    </w:p>
    <w:p w14:paraId="59EFEBCA">
      <w:pPr>
        <w:spacing w:line="600" w:lineRule="exact"/>
        <w:ind w:firstLine="640" w:firstLineChars="200"/>
        <w:jc w:val="both"/>
        <w:rPr>
          <w:rFonts w:eastAsia="仿宋_GB2312"/>
          <w:kern w:val="0"/>
          <w:sz w:val="32"/>
          <w:szCs w:val="32"/>
        </w:rPr>
      </w:pPr>
      <w:r>
        <w:rPr>
          <w:rFonts w:eastAsia="仿宋_GB2312"/>
          <w:kern w:val="0"/>
          <w:sz w:val="32"/>
          <w:szCs w:val="32"/>
        </w:rPr>
        <w:t>本单位决算公开信息反馈和联系方式：</w:t>
      </w:r>
    </w:p>
    <w:p w14:paraId="6E3A4BE8">
      <w:pPr>
        <w:spacing w:line="600" w:lineRule="exact"/>
        <w:ind w:firstLine="640" w:firstLineChars="200"/>
        <w:jc w:val="both"/>
        <w:rPr>
          <w:rFonts w:hint="eastAsia" w:eastAsia="仿宋_GB2312"/>
          <w:kern w:val="0"/>
          <w:sz w:val="32"/>
          <w:szCs w:val="32"/>
        </w:rPr>
      </w:pPr>
      <w:r>
        <w:rPr>
          <w:rFonts w:eastAsia="仿宋_GB2312"/>
          <w:kern w:val="0"/>
          <w:sz w:val="32"/>
          <w:szCs w:val="32"/>
        </w:rPr>
        <w:t>联系人：</w:t>
      </w:r>
      <w:r>
        <w:rPr>
          <w:rFonts w:hint="eastAsia" w:eastAsia="仿宋_GB2312"/>
          <w:kern w:val="0"/>
          <w:sz w:val="32"/>
          <w:szCs w:val="32"/>
        </w:rPr>
        <w:t>王瑞</w:t>
      </w:r>
      <w:r>
        <w:rPr>
          <w:rFonts w:eastAsia="仿宋_GB2312"/>
          <w:kern w:val="0"/>
          <w:sz w:val="32"/>
          <w:szCs w:val="32"/>
        </w:rPr>
        <w:t xml:space="preserve">       联系电话：</w:t>
      </w:r>
      <w:r>
        <w:rPr>
          <w:rFonts w:hint="eastAsia" w:eastAsia="仿宋_GB2312"/>
          <w:kern w:val="0"/>
          <w:sz w:val="32"/>
          <w:szCs w:val="32"/>
        </w:rPr>
        <w:t>0470-7461525</w:t>
      </w:r>
    </w:p>
    <w:p w14:paraId="1CE49B5F">
      <w:pPr>
        <w:spacing w:line="600" w:lineRule="exact"/>
        <w:jc w:val="both"/>
        <w:rPr>
          <w:rFonts w:hint="eastAsia" w:eastAsia="仿宋_GB2312"/>
          <w:kern w:val="0"/>
          <w:sz w:val="32"/>
          <w:szCs w:val="32"/>
        </w:rPr>
      </w:pPr>
    </w:p>
    <w:p w14:paraId="38F02B62">
      <w:pPr>
        <w:pStyle w:val="3"/>
        <w:keepNext w:val="0"/>
        <w:keepLines w:val="0"/>
        <w:numPr>
          <w:ilvl w:val="0"/>
          <w:numId w:val="3"/>
        </w:numPr>
        <w:spacing w:before="0" w:after="0" w:line="600" w:lineRule="exact"/>
        <w:ind w:firstLine="880" w:firstLineChars="200"/>
        <w:jc w:val="center"/>
        <w:rPr>
          <w:rFonts w:ascii="方正小标宋简体" w:hAnsi="方正小标宋简体" w:eastAsia="方正小标宋简体" w:cs="方正小标宋简体"/>
          <w:b w:val="0"/>
          <w:bCs w:val="0"/>
          <w:kern w:val="0"/>
          <w:sz w:val="44"/>
          <w:szCs w:val="44"/>
        </w:rPr>
      </w:pPr>
      <w:r>
        <w:rPr>
          <w:rFonts w:ascii="方正小标宋简体" w:hAnsi="方正小标宋简体" w:eastAsia="方正小标宋简体" w:cs="方正小标宋简体"/>
          <w:b w:val="0"/>
          <w:bCs w:val="0"/>
          <w:kern w:val="0"/>
          <w:sz w:val="44"/>
          <w:szCs w:val="44"/>
        </w:rPr>
        <w:t>单位决算表</w:t>
      </w:r>
    </w:p>
    <w:p w14:paraId="4E0377C9">
      <w:pPr>
        <w:numPr>
          <w:ilvl w:val="0"/>
          <w:numId w:val="0"/>
        </w:numPr>
        <w:jc w:val="center"/>
      </w:pPr>
    </w:p>
    <w:bookmarkEnd w:id="0"/>
    <w:p w14:paraId="42E7A9E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eastAsia="仿宋_GB2312"/>
          <w:kern w:val="0"/>
          <w:sz w:val="32"/>
          <w:szCs w:val="32"/>
        </w:rPr>
      </w:pPr>
      <w:r>
        <w:rPr>
          <w:rFonts w:eastAsia="仿宋_GB2312"/>
          <w:kern w:val="0"/>
          <w:sz w:val="32"/>
          <w:szCs w:val="32"/>
        </w:rPr>
        <w:t>一、收入支出决算总表</w:t>
      </w:r>
    </w:p>
    <w:p w14:paraId="4EC6006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eastAsia="仿宋_GB2312"/>
          <w:kern w:val="0"/>
          <w:sz w:val="32"/>
          <w:szCs w:val="32"/>
        </w:rPr>
      </w:pPr>
      <w:r>
        <w:rPr>
          <w:rFonts w:eastAsia="仿宋_GB2312"/>
          <w:kern w:val="0"/>
          <w:sz w:val="32"/>
          <w:szCs w:val="32"/>
        </w:rPr>
        <w:t>二、收入决算表</w:t>
      </w:r>
    </w:p>
    <w:p w14:paraId="38D622A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eastAsia="仿宋_GB2312"/>
          <w:kern w:val="0"/>
          <w:sz w:val="32"/>
          <w:szCs w:val="32"/>
        </w:rPr>
      </w:pPr>
      <w:r>
        <w:rPr>
          <w:rFonts w:eastAsia="仿宋_GB2312"/>
          <w:kern w:val="0"/>
          <w:sz w:val="32"/>
          <w:szCs w:val="32"/>
        </w:rPr>
        <w:t>三、支出决算表</w:t>
      </w:r>
    </w:p>
    <w:p w14:paraId="23D2BF2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eastAsia="仿宋_GB2312"/>
          <w:kern w:val="0"/>
          <w:sz w:val="32"/>
          <w:szCs w:val="32"/>
        </w:rPr>
      </w:pPr>
      <w:r>
        <w:rPr>
          <w:rFonts w:eastAsia="仿宋_GB2312"/>
          <w:kern w:val="0"/>
          <w:sz w:val="32"/>
          <w:szCs w:val="32"/>
        </w:rPr>
        <w:t>四、财政拨款收入支出决算总表</w:t>
      </w:r>
    </w:p>
    <w:p w14:paraId="09DAB9B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eastAsia="仿宋_GB2312"/>
          <w:kern w:val="0"/>
          <w:sz w:val="32"/>
          <w:szCs w:val="32"/>
        </w:rPr>
      </w:pPr>
      <w:r>
        <w:rPr>
          <w:rFonts w:eastAsia="仿宋_GB2312"/>
          <w:kern w:val="0"/>
          <w:sz w:val="32"/>
          <w:szCs w:val="32"/>
        </w:rPr>
        <w:t>五、一般公共预算财政拨款支出决算表</w:t>
      </w:r>
    </w:p>
    <w:p w14:paraId="79DAF21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eastAsia="仿宋_GB2312"/>
          <w:kern w:val="0"/>
          <w:sz w:val="32"/>
          <w:szCs w:val="32"/>
        </w:rPr>
      </w:pPr>
      <w:r>
        <w:rPr>
          <w:rFonts w:eastAsia="仿宋_GB2312"/>
          <w:kern w:val="0"/>
          <w:sz w:val="32"/>
          <w:szCs w:val="32"/>
        </w:rPr>
        <w:t>六、一般公共预算财政拨款基本支出决算明细表</w:t>
      </w:r>
    </w:p>
    <w:p w14:paraId="67A77FF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eastAsia="仿宋_GB2312"/>
          <w:kern w:val="0"/>
          <w:sz w:val="32"/>
          <w:szCs w:val="32"/>
        </w:rPr>
      </w:pPr>
      <w:r>
        <w:rPr>
          <w:rFonts w:eastAsia="仿宋_GB2312"/>
          <w:kern w:val="0"/>
          <w:sz w:val="32"/>
          <w:szCs w:val="32"/>
        </w:rPr>
        <w:t>七、一般公共预算财政拨款项目支出决算明细表</w:t>
      </w:r>
    </w:p>
    <w:p w14:paraId="0A618234">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eastAsia="仿宋_GB2312"/>
          <w:kern w:val="0"/>
          <w:sz w:val="32"/>
          <w:szCs w:val="32"/>
        </w:rPr>
      </w:pPr>
      <w:r>
        <w:rPr>
          <w:rFonts w:eastAsia="仿宋_GB2312"/>
          <w:kern w:val="0"/>
          <w:sz w:val="32"/>
          <w:szCs w:val="32"/>
        </w:rPr>
        <w:t>八、政府性基金预算财政拨款收入支出决算表</w:t>
      </w:r>
    </w:p>
    <w:p w14:paraId="65774BC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eastAsia="仿宋_GB2312"/>
          <w:kern w:val="0"/>
          <w:sz w:val="32"/>
          <w:szCs w:val="32"/>
        </w:rPr>
      </w:pPr>
      <w:r>
        <w:rPr>
          <w:rFonts w:eastAsia="仿宋_GB2312"/>
          <w:kern w:val="0"/>
          <w:sz w:val="32"/>
          <w:szCs w:val="32"/>
        </w:rPr>
        <w:t>九、国有资本经营预算财政拨款支出决算表</w:t>
      </w:r>
    </w:p>
    <w:p w14:paraId="7853D58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eastAsia="仿宋_GB2312"/>
          <w:kern w:val="0"/>
          <w:sz w:val="32"/>
          <w:szCs w:val="32"/>
        </w:rPr>
      </w:pPr>
      <w:r>
        <w:rPr>
          <w:rFonts w:eastAsia="仿宋_GB2312"/>
          <w:kern w:val="0"/>
          <w:sz w:val="32"/>
          <w:szCs w:val="32"/>
        </w:rPr>
        <w:t>十、财政拨款“三公”经费支出决算表</w:t>
      </w:r>
    </w:p>
    <w:p w14:paraId="52D2B25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eastAsia="仿宋_GB2312"/>
          <w:kern w:val="0"/>
          <w:sz w:val="32"/>
          <w:szCs w:val="32"/>
        </w:rPr>
      </w:pPr>
      <w:r>
        <w:rPr>
          <w:rFonts w:eastAsia="仿宋_GB2312"/>
          <w:kern w:val="0"/>
          <w:sz w:val="32"/>
          <w:szCs w:val="32"/>
        </w:rPr>
        <w:t>十一、机</w:t>
      </w:r>
      <w:r>
        <w:rPr>
          <w:rFonts w:hint="eastAsia" w:eastAsia="仿宋_GB2312"/>
          <w:kern w:val="0"/>
          <w:sz w:val="32"/>
          <w:szCs w:val="32"/>
        </w:rPr>
        <w:t>关</w:t>
      </w:r>
      <w:r>
        <w:rPr>
          <w:rFonts w:eastAsia="仿宋_GB2312"/>
          <w:kern w:val="0"/>
          <w:sz w:val="32"/>
          <w:szCs w:val="32"/>
        </w:rPr>
        <w:t>运行经费支出、国有资产占用情况及政府采购支出信息表</w:t>
      </w:r>
    </w:p>
    <w:p w14:paraId="13045F2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eastAsia="仿宋_GB2312"/>
          <w:sz w:val="32"/>
          <w:szCs w:val="32"/>
        </w:rPr>
      </w:pPr>
      <w:r>
        <w:rPr>
          <w:rFonts w:hint="eastAsia" w:eastAsia="仿宋_GB2312"/>
          <w:kern w:val="0"/>
          <w:sz w:val="32"/>
          <w:szCs w:val="32"/>
        </w:rPr>
        <w:t>备注：按决算公开编制要求，决算公开报告及公开表的计数单位为万元，而2025年决算编制是以元为计数单位，因此小数点后第二位存在四舍五入的差异。</w:t>
      </w:r>
      <w:bookmarkStart w:id="1" w:name="_GoBack"/>
      <w:bookmarkEnd w:id="1"/>
    </w:p>
    <w:sectPr>
      <w:footerReference r:id="rId3" w:type="default"/>
      <w:pgSz w:w="11906" w:h="16838"/>
      <w:pgMar w:top="2098" w:right="1474" w:bottom="1985" w:left="1588" w:header="0" w:footer="1021" w:gutter="0"/>
      <w:pgBorders>
        <w:top w:val="none" w:sz="0" w:space="0"/>
        <w:left w:val="none" w:sz="0" w:space="0"/>
        <w:bottom w:val="none" w:sz="0" w:space="0"/>
        <w:right w:val="none" w:sz="0" w:space="0"/>
      </w:pgBorders>
      <w:pgNumType w:fmt="numberInDash"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CESI仿宋-GB2312">
    <w:altName w:val="仿宋"/>
    <w:panose1 w:val="00000000000000000000"/>
    <w:charset w:val="86"/>
    <w:family w:val="auto"/>
    <w:pitch w:val="default"/>
    <w:sig w:usb0="00000000" w:usb1="00000000" w:usb2="00000010" w:usb3="00000000" w:csb0="0004000F" w:csb1="00000000"/>
  </w:font>
  <w:font w:name="仿宋">
    <w:panose1 w:val="02010609060101010101"/>
    <w:charset w:val="86"/>
    <w:family w:val="auto"/>
    <w:pitch w:val="default"/>
    <w:sig w:usb0="800002BF" w:usb1="38CF7CFA" w:usb2="00000016" w:usb3="00000000" w:csb0="00040001" w:csb1="00000000"/>
  </w:font>
  <w:font w:name="CESI黑体-GB2312">
    <w:altName w:val="黑体"/>
    <w:panose1 w:val="00000000000000000000"/>
    <w:charset w:val="86"/>
    <w:family w:val="auto"/>
    <w:pitch w:val="default"/>
    <w:sig w:usb0="00000000" w:usb1="00000000" w:usb2="00000012" w:usb3="00000000" w:csb0="0004000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743271">
    <w:pPr>
      <w:pStyle w:val="12"/>
      <w:tabs>
        <w:tab w:val="center" w:pos="4930"/>
        <w:tab w:val="left" w:pos="8439"/>
      </w:tabs>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1F43C04">
                          <w:pPr>
                            <w:pStyle w:val="12"/>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zh-CN"/>
                            </w:rPr>
                            <w:t>23</w:t>
                          </w:r>
                          <w:r>
                            <w:rPr>
                              <w:rFonts w:hint="eastAsia" w:asciiTheme="minorEastAsia" w:hAnsiTheme="minorEastAsia" w:eastAsiaTheme="minorEastAsia" w:cstheme="minorEastAsia"/>
                              <w:sz w:val="28"/>
                              <w:szCs w:val="28"/>
                              <w:lang w:val="zh-CN"/>
                            </w:rPr>
                            <w:fldChar w:fldCharType="end"/>
                          </w:r>
                        </w:p>
                      </w:txbxContent>
                    </wps:txbx>
                    <wps:bodyPr wrap="none" lIns="0" tIns="0" rIns="0" bIns="0">
                      <a:spAutoFit/>
                    </wps:bodyPr>
                  </wps:wsp>
                </a:graphicData>
              </a:graphic>
            </wp:anchor>
          </w:drawing>
        </mc:Choice>
        <mc:Fallback>
          <w:pict>
            <v:shape id="文本框 3"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OqXm5zwAAAAUBAAAPAAAAAAAAAAEAIAAAACIAAABkcnMvZG93bnJldi54bWxQSwECFAAU&#10;AAAACACHTuJAOepaY8EBAACNAwAADgAAAAAAAAABACAAAAAeAQAAZHJzL2Uyb0RvYy54bWxQSwUG&#10;AAAAAAYABgBZAQAAUQUAAAAA&#10;">
              <v:fill on="f" focussize="0,0"/>
              <v:stroke on="f"/>
              <v:imagedata o:title=""/>
              <o:lock v:ext="edit" aspectratio="f"/>
              <v:textbox inset="0mm,0mm,0mm,0mm" style="mso-fit-shape-to-text:t;">
                <w:txbxContent>
                  <w:p w14:paraId="61F43C04">
                    <w:pPr>
                      <w:pStyle w:val="12"/>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lang w:val="zh-CN"/>
                      </w:rPr>
                      <w:t>23</w:t>
                    </w:r>
                    <w:r>
                      <w:rPr>
                        <w:rFonts w:hint="eastAsia" w:asciiTheme="minorEastAsia" w:hAnsiTheme="minorEastAsia" w:eastAsiaTheme="minorEastAsia" w:cstheme="minorEastAsia"/>
                        <w:sz w:val="28"/>
                        <w:szCs w:val="28"/>
                        <w:lang w:val="zh-CN"/>
                      </w:rPr>
                      <w:fldChar w:fldCharType="end"/>
                    </w:r>
                  </w:p>
                </w:txbxContent>
              </v:textbox>
            </v:shape>
          </w:pict>
        </mc:Fallback>
      </mc:AlternateContent>
    </w:r>
    <w:r>
      <w:tab/>
    </w:r>
    <w:r>
      <w:tab/>
    </w:r>
    <w:r>
      <w:tab/>
    </w:r>
    <w:r>
      <w:tab/>
    </w:r>
  </w:p>
  <w:p w14:paraId="134A3675">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05A339"/>
    <w:multiLevelType w:val="singleLevel"/>
    <w:tmpl w:val="8D05A339"/>
    <w:lvl w:ilvl="0" w:tentative="0">
      <w:start w:val="2"/>
      <w:numFmt w:val="chineseCounting"/>
      <w:suff w:val="space"/>
      <w:lvlText w:val="第%1部分"/>
      <w:lvlJc w:val="left"/>
      <w:rPr>
        <w:rFonts w:hint="eastAsia"/>
      </w:rPr>
    </w:lvl>
  </w:abstractNum>
  <w:abstractNum w:abstractNumId="1">
    <w:nsid w:val="B316E8D7"/>
    <w:multiLevelType w:val="singleLevel"/>
    <w:tmpl w:val="B316E8D7"/>
    <w:lvl w:ilvl="0" w:tentative="0">
      <w:start w:val="1"/>
      <w:numFmt w:val="chineseCounting"/>
      <w:suff w:val="space"/>
      <w:lvlText w:val="第%1部分"/>
      <w:lvlJc w:val="left"/>
      <w:rPr>
        <w:rFonts w:hint="eastAsia"/>
      </w:rPr>
    </w:lvl>
  </w:abstractNum>
  <w:abstractNum w:abstractNumId="2">
    <w:nsid w:val="40C5DB33"/>
    <w:multiLevelType w:val="singleLevel"/>
    <w:tmpl w:val="40C5DB33"/>
    <w:lvl w:ilvl="0" w:tentative="0">
      <w:start w:val="5"/>
      <w:numFmt w:val="chineseCounting"/>
      <w:suff w:val="space"/>
      <w:lvlText w:val="第%1部分"/>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QyZTMwZTU2MGY5ZjA1MmUyYWYxMWQ5OGY3ODNhNDcifQ=="/>
  </w:docVars>
  <w:rsids>
    <w:rsidRoot w:val="009F0536"/>
    <w:rsid w:val="0000662F"/>
    <w:rsid w:val="000138E2"/>
    <w:rsid w:val="00021D8B"/>
    <w:rsid w:val="00023E75"/>
    <w:rsid w:val="00033C6A"/>
    <w:rsid w:val="00063AC2"/>
    <w:rsid w:val="000724CC"/>
    <w:rsid w:val="000774F0"/>
    <w:rsid w:val="0008237D"/>
    <w:rsid w:val="0008308B"/>
    <w:rsid w:val="00084E39"/>
    <w:rsid w:val="00097269"/>
    <w:rsid w:val="000A769F"/>
    <w:rsid w:val="000B2CBC"/>
    <w:rsid w:val="000B3259"/>
    <w:rsid w:val="000D3889"/>
    <w:rsid w:val="000D4A61"/>
    <w:rsid w:val="0010682D"/>
    <w:rsid w:val="00144805"/>
    <w:rsid w:val="001620BF"/>
    <w:rsid w:val="001814D4"/>
    <w:rsid w:val="00183373"/>
    <w:rsid w:val="00190643"/>
    <w:rsid w:val="001A69CF"/>
    <w:rsid w:val="001E7634"/>
    <w:rsid w:val="001F2454"/>
    <w:rsid w:val="00200607"/>
    <w:rsid w:val="00204509"/>
    <w:rsid w:val="00204A5D"/>
    <w:rsid w:val="00215AA4"/>
    <w:rsid w:val="00225D2E"/>
    <w:rsid w:val="0023107E"/>
    <w:rsid w:val="00233241"/>
    <w:rsid w:val="0026507B"/>
    <w:rsid w:val="00297C52"/>
    <w:rsid w:val="002B30EF"/>
    <w:rsid w:val="002E10A5"/>
    <w:rsid w:val="00300987"/>
    <w:rsid w:val="0030784F"/>
    <w:rsid w:val="00312846"/>
    <w:rsid w:val="00347A51"/>
    <w:rsid w:val="003550AC"/>
    <w:rsid w:val="00367870"/>
    <w:rsid w:val="00375E79"/>
    <w:rsid w:val="00393F2A"/>
    <w:rsid w:val="003A4E85"/>
    <w:rsid w:val="003B3EAA"/>
    <w:rsid w:val="003E25DF"/>
    <w:rsid w:val="00405864"/>
    <w:rsid w:val="00406950"/>
    <w:rsid w:val="00482D36"/>
    <w:rsid w:val="00490629"/>
    <w:rsid w:val="0049507B"/>
    <w:rsid w:val="004A738F"/>
    <w:rsid w:val="004B1589"/>
    <w:rsid w:val="004B721F"/>
    <w:rsid w:val="004D7065"/>
    <w:rsid w:val="004E0B6C"/>
    <w:rsid w:val="005011E1"/>
    <w:rsid w:val="00505A51"/>
    <w:rsid w:val="005114A1"/>
    <w:rsid w:val="0051384E"/>
    <w:rsid w:val="00521603"/>
    <w:rsid w:val="00536012"/>
    <w:rsid w:val="0054657E"/>
    <w:rsid w:val="0059054F"/>
    <w:rsid w:val="00596608"/>
    <w:rsid w:val="005A1641"/>
    <w:rsid w:val="005B4139"/>
    <w:rsid w:val="005C13AB"/>
    <w:rsid w:val="00617BDE"/>
    <w:rsid w:val="00667493"/>
    <w:rsid w:val="006C017F"/>
    <w:rsid w:val="006C07FE"/>
    <w:rsid w:val="006E7255"/>
    <w:rsid w:val="006F3307"/>
    <w:rsid w:val="007003B2"/>
    <w:rsid w:val="00707255"/>
    <w:rsid w:val="007141F9"/>
    <w:rsid w:val="007402A0"/>
    <w:rsid w:val="00762248"/>
    <w:rsid w:val="00782E6C"/>
    <w:rsid w:val="00787000"/>
    <w:rsid w:val="00790CEE"/>
    <w:rsid w:val="007A7BA5"/>
    <w:rsid w:val="007B6706"/>
    <w:rsid w:val="007C1FDD"/>
    <w:rsid w:val="007D6292"/>
    <w:rsid w:val="00830B1D"/>
    <w:rsid w:val="00854F4B"/>
    <w:rsid w:val="00857D98"/>
    <w:rsid w:val="00894C48"/>
    <w:rsid w:val="00896385"/>
    <w:rsid w:val="008A10DB"/>
    <w:rsid w:val="008B5455"/>
    <w:rsid w:val="008D3816"/>
    <w:rsid w:val="009125DD"/>
    <w:rsid w:val="009242AF"/>
    <w:rsid w:val="009342EF"/>
    <w:rsid w:val="00954CD9"/>
    <w:rsid w:val="00965C6D"/>
    <w:rsid w:val="009A5EF3"/>
    <w:rsid w:val="009D6904"/>
    <w:rsid w:val="009E1EE8"/>
    <w:rsid w:val="009E227B"/>
    <w:rsid w:val="009E308A"/>
    <w:rsid w:val="009F0536"/>
    <w:rsid w:val="00A147CF"/>
    <w:rsid w:val="00A270BE"/>
    <w:rsid w:val="00A36C1D"/>
    <w:rsid w:val="00A517A0"/>
    <w:rsid w:val="00A6244D"/>
    <w:rsid w:val="00A62486"/>
    <w:rsid w:val="00A81BC1"/>
    <w:rsid w:val="00AA6E47"/>
    <w:rsid w:val="00AB013A"/>
    <w:rsid w:val="00AD057F"/>
    <w:rsid w:val="00AD11A5"/>
    <w:rsid w:val="00AE47F5"/>
    <w:rsid w:val="00AF03C6"/>
    <w:rsid w:val="00AF5908"/>
    <w:rsid w:val="00AF5F33"/>
    <w:rsid w:val="00B27D51"/>
    <w:rsid w:val="00B32BEE"/>
    <w:rsid w:val="00B373AF"/>
    <w:rsid w:val="00B4208A"/>
    <w:rsid w:val="00B57D7A"/>
    <w:rsid w:val="00B60D26"/>
    <w:rsid w:val="00B76409"/>
    <w:rsid w:val="00B76620"/>
    <w:rsid w:val="00B840CE"/>
    <w:rsid w:val="00B96C3D"/>
    <w:rsid w:val="00BC0A91"/>
    <w:rsid w:val="00BD0928"/>
    <w:rsid w:val="00BE5F73"/>
    <w:rsid w:val="00BF4228"/>
    <w:rsid w:val="00C07A30"/>
    <w:rsid w:val="00C128A1"/>
    <w:rsid w:val="00C352FF"/>
    <w:rsid w:val="00C44231"/>
    <w:rsid w:val="00C47CB9"/>
    <w:rsid w:val="00CA334A"/>
    <w:rsid w:val="00CB557C"/>
    <w:rsid w:val="00CC6B8B"/>
    <w:rsid w:val="00CD3751"/>
    <w:rsid w:val="00CF3025"/>
    <w:rsid w:val="00D2051A"/>
    <w:rsid w:val="00D40D69"/>
    <w:rsid w:val="00D96390"/>
    <w:rsid w:val="00DB4802"/>
    <w:rsid w:val="00DD36B4"/>
    <w:rsid w:val="00E05038"/>
    <w:rsid w:val="00E219E7"/>
    <w:rsid w:val="00E401EC"/>
    <w:rsid w:val="00E4600D"/>
    <w:rsid w:val="00E60D6A"/>
    <w:rsid w:val="00E73321"/>
    <w:rsid w:val="00E77EC0"/>
    <w:rsid w:val="00E914C1"/>
    <w:rsid w:val="00E97C37"/>
    <w:rsid w:val="00EA233A"/>
    <w:rsid w:val="00EE533B"/>
    <w:rsid w:val="00F0093B"/>
    <w:rsid w:val="00F04882"/>
    <w:rsid w:val="00F63327"/>
    <w:rsid w:val="00F80A29"/>
    <w:rsid w:val="00F85CBD"/>
    <w:rsid w:val="00FA7CA5"/>
    <w:rsid w:val="00FB4431"/>
    <w:rsid w:val="00FD08EC"/>
    <w:rsid w:val="00FD7690"/>
    <w:rsid w:val="00FF1F1C"/>
    <w:rsid w:val="01064C9A"/>
    <w:rsid w:val="010D6029"/>
    <w:rsid w:val="01272DB4"/>
    <w:rsid w:val="01531676"/>
    <w:rsid w:val="0168074B"/>
    <w:rsid w:val="016C0FA1"/>
    <w:rsid w:val="017B2F92"/>
    <w:rsid w:val="01802AFE"/>
    <w:rsid w:val="01852063"/>
    <w:rsid w:val="019404F8"/>
    <w:rsid w:val="019561E1"/>
    <w:rsid w:val="01A611B0"/>
    <w:rsid w:val="01C84669"/>
    <w:rsid w:val="01D152A8"/>
    <w:rsid w:val="01F57427"/>
    <w:rsid w:val="020E4F00"/>
    <w:rsid w:val="02117D9A"/>
    <w:rsid w:val="02151639"/>
    <w:rsid w:val="022278B2"/>
    <w:rsid w:val="023615AF"/>
    <w:rsid w:val="028A66BC"/>
    <w:rsid w:val="02906F11"/>
    <w:rsid w:val="0293006E"/>
    <w:rsid w:val="02B90AE6"/>
    <w:rsid w:val="02C82FA4"/>
    <w:rsid w:val="02EB4148"/>
    <w:rsid w:val="032D29B2"/>
    <w:rsid w:val="032F04D8"/>
    <w:rsid w:val="03455F4E"/>
    <w:rsid w:val="036208AE"/>
    <w:rsid w:val="03660654"/>
    <w:rsid w:val="0374238F"/>
    <w:rsid w:val="03795BF7"/>
    <w:rsid w:val="039E740C"/>
    <w:rsid w:val="039F78D2"/>
    <w:rsid w:val="03A569EC"/>
    <w:rsid w:val="03B22EB7"/>
    <w:rsid w:val="03B70C87"/>
    <w:rsid w:val="03B7227C"/>
    <w:rsid w:val="03E33071"/>
    <w:rsid w:val="03E45C6D"/>
    <w:rsid w:val="042E69E2"/>
    <w:rsid w:val="043B1FC0"/>
    <w:rsid w:val="043E70F5"/>
    <w:rsid w:val="04473600"/>
    <w:rsid w:val="04903A62"/>
    <w:rsid w:val="04B073F7"/>
    <w:rsid w:val="04BD38C2"/>
    <w:rsid w:val="04CD7FA9"/>
    <w:rsid w:val="04D74983"/>
    <w:rsid w:val="04E92909"/>
    <w:rsid w:val="04F01EE9"/>
    <w:rsid w:val="04F449FB"/>
    <w:rsid w:val="051536FE"/>
    <w:rsid w:val="05340028"/>
    <w:rsid w:val="054A3BFB"/>
    <w:rsid w:val="05573D2D"/>
    <w:rsid w:val="057C0221"/>
    <w:rsid w:val="0599432F"/>
    <w:rsid w:val="05BE3E51"/>
    <w:rsid w:val="05C3315A"/>
    <w:rsid w:val="05DE61E6"/>
    <w:rsid w:val="05E41A4E"/>
    <w:rsid w:val="05F31C91"/>
    <w:rsid w:val="060379FA"/>
    <w:rsid w:val="0616772D"/>
    <w:rsid w:val="062A31D9"/>
    <w:rsid w:val="06426121"/>
    <w:rsid w:val="068E324C"/>
    <w:rsid w:val="069A65B0"/>
    <w:rsid w:val="06C24BB4"/>
    <w:rsid w:val="06DE1C94"/>
    <w:rsid w:val="06E72E78"/>
    <w:rsid w:val="070879DF"/>
    <w:rsid w:val="073F2B88"/>
    <w:rsid w:val="07506C6F"/>
    <w:rsid w:val="076646E5"/>
    <w:rsid w:val="078E0B1F"/>
    <w:rsid w:val="07A86AAB"/>
    <w:rsid w:val="07B16B65"/>
    <w:rsid w:val="07B2792A"/>
    <w:rsid w:val="07B52C0D"/>
    <w:rsid w:val="07C531B9"/>
    <w:rsid w:val="07CA6E54"/>
    <w:rsid w:val="07CF4038"/>
    <w:rsid w:val="07D26F90"/>
    <w:rsid w:val="08000695"/>
    <w:rsid w:val="08054417"/>
    <w:rsid w:val="080B7F83"/>
    <w:rsid w:val="081A55DB"/>
    <w:rsid w:val="0825634E"/>
    <w:rsid w:val="083C1817"/>
    <w:rsid w:val="084C38DA"/>
    <w:rsid w:val="0854453D"/>
    <w:rsid w:val="086809F9"/>
    <w:rsid w:val="08744BDF"/>
    <w:rsid w:val="087F5A5E"/>
    <w:rsid w:val="08931A4D"/>
    <w:rsid w:val="089470F4"/>
    <w:rsid w:val="08AC6127"/>
    <w:rsid w:val="08B5322E"/>
    <w:rsid w:val="08D86F1C"/>
    <w:rsid w:val="08DC7160"/>
    <w:rsid w:val="08E026B7"/>
    <w:rsid w:val="08EB6C4F"/>
    <w:rsid w:val="08F301FA"/>
    <w:rsid w:val="08FB0871"/>
    <w:rsid w:val="090221EB"/>
    <w:rsid w:val="093305F6"/>
    <w:rsid w:val="095A3DD5"/>
    <w:rsid w:val="096133B5"/>
    <w:rsid w:val="096E63C0"/>
    <w:rsid w:val="096F5AD2"/>
    <w:rsid w:val="09722ECD"/>
    <w:rsid w:val="098552F6"/>
    <w:rsid w:val="09AB26B3"/>
    <w:rsid w:val="09B554AF"/>
    <w:rsid w:val="09BC683E"/>
    <w:rsid w:val="09CD3FD2"/>
    <w:rsid w:val="09DC47EA"/>
    <w:rsid w:val="09E1416E"/>
    <w:rsid w:val="09EB2AAB"/>
    <w:rsid w:val="09F61D50"/>
    <w:rsid w:val="09FA151F"/>
    <w:rsid w:val="0A03621B"/>
    <w:rsid w:val="0A067AB9"/>
    <w:rsid w:val="0A0D0E47"/>
    <w:rsid w:val="0A0D7099"/>
    <w:rsid w:val="0A1356F4"/>
    <w:rsid w:val="0A1E3055"/>
    <w:rsid w:val="0A3B6154"/>
    <w:rsid w:val="0A4C53C7"/>
    <w:rsid w:val="0A4D7496"/>
    <w:rsid w:val="0A6309DA"/>
    <w:rsid w:val="0A8729A8"/>
    <w:rsid w:val="0A894972"/>
    <w:rsid w:val="0A9B46A5"/>
    <w:rsid w:val="0AB80DB3"/>
    <w:rsid w:val="0AD41965"/>
    <w:rsid w:val="0AD96F7B"/>
    <w:rsid w:val="0ADC2B93"/>
    <w:rsid w:val="0AE71698"/>
    <w:rsid w:val="0B0C55A3"/>
    <w:rsid w:val="0B1E670E"/>
    <w:rsid w:val="0B27418B"/>
    <w:rsid w:val="0B3A5C6C"/>
    <w:rsid w:val="0B3B464F"/>
    <w:rsid w:val="0B3C7C36"/>
    <w:rsid w:val="0B444D3D"/>
    <w:rsid w:val="0B530F76"/>
    <w:rsid w:val="0B671F05"/>
    <w:rsid w:val="0B8A55BE"/>
    <w:rsid w:val="0B923CFA"/>
    <w:rsid w:val="0BA63302"/>
    <w:rsid w:val="0BAB0918"/>
    <w:rsid w:val="0BBA0B5B"/>
    <w:rsid w:val="0BED7182"/>
    <w:rsid w:val="0BFC5617"/>
    <w:rsid w:val="0C05627A"/>
    <w:rsid w:val="0C3628D7"/>
    <w:rsid w:val="0C3B7EEE"/>
    <w:rsid w:val="0C410CC9"/>
    <w:rsid w:val="0C4D2126"/>
    <w:rsid w:val="0C590374"/>
    <w:rsid w:val="0C6242B8"/>
    <w:rsid w:val="0C644961"/>
    <w:rsid w:val="0C776A4C"/>
    <w:rsid w:val="0C8566FF"/>
    <w:rsid w:val="0CA5180B"/>
    <w:rsid w:val="0CC46135"/>
    <w:rsid w:val="0CCF6888"/>
    <w:rsid w:val="0CDD08A4"/>
    <w:rsid w:val="0CE62332"/>
    <w:rsid w:val="0CE864AF"/>
    <w:rsid w:val="0CE95B9C"/>
    <w:rsid w:val="0CF54541"/>
    <w:rsid w:val="0D0E115E"/>
    <w:rsid w:val="0D16652A"/>
    <w:rsid w:val="0D1B1ACD"/>
    <w:rsid w:val="0D2B13D3"/>
    <w:rsid w:val="0D2E1801"/>
    <w:rsid w:val="0D391A28"/>
    <w:rsid w:val="0D3A63F7"/>
    <w:rsid w:val="0D422ACD"/>
    <w:rsid w:val="0D4C1C87"/>
    <w:rsid w:val="0D5079C9"/>
    <w:rsid w:val="0D573276"/>
    <w:rsid w:val="0D6E42F3"/>
    <w:rsid w:val="0D773627"/>
    <w:rsid w:val="0D782A7C"/>
    <w:rsid w:val="0D796E2B"/>
    <w:rsid w:val="0D7F205C"/>
    <w:rsid w:val="0D9323E2"/>
    <w:rsid w:val="0D943668"/>
    <w:rsid w:val="0DA10224"/>
    <w:rsid w:val="0DD3516A"/>
    <w:rsid w:val="0DED5218"/>
    <w:rsid w:val="0E0A5DCA"/>
    <w:rsid w:val="0E100F06"/>
    <w:rsid w:val="0E122ED0"/>
    <w:rsid w:val="0E176739"/>
    <w:rsid w:val="0E1F739B"/>
    <w:rsid w:val="0E213113"/>
    <w:rsid w:val="0E440BB0"/>
    <w:rsid w:val="0E6B25E0"/>
    <w:rsid w:val="0E8221BD"/>
    <w:rsid w:val="0E974791"/>
    <w:rsid w:val="0EAA3109"/>
    <w:rsid w:val="0EBB5316"/>
    <w:rsid w:val="0EBC23F2"/>
    <w:rsid w:val="0EE505E5"/>
    <w:rsid w:val="0EEE2EFD"/>
    <w:rsid w:val="0EF32D02"/>
    <w:rsid w:val="0EF600FC"/>
    <w:rsid w:val="0EFE3455"/>
    <w:rsid w:val="0F022F45"/>
    <w:rsid w:val="0F040A6B"/>
    <w:rsid w:val="0F6B2B14"/>
    <w:rsid w:val="0F7D6A6F"/>
    <w:rsid w:val="0F9F231C"/>
    <w:rsid w:val="0FB32491"/>
    <w:rsid w:val="0FB62B28"/>
    <w:rsid w:val="0FC14BAE"/>
    <w:rsid w:val="0FC4644C"/>
    <w:rsid w:val="0FCD076B"/>
    <w:rsid w:val="0FDA5C70"/>
    <w:rsid w:val="0FDE750E"/>
    <w:rsid w:val="0FDE7E11"/>
    <w:rsid w:val="0FF94348"/>
    <w:rsid w:val="103241E5"/>
    <w:rsid w:val="1045133B"/>
    <w:rsid w:val="105A46BB"/>
    <w:rsid w:val="10802373"/>
    <w:rsid w:val="109D108C"/>
    <w:rsid w:val="10D12BCF"/>
    <w:rsid w:val="113D7D4B"/>
    <w:rsid w:val="114A2981"/>
    <w:rsid w:val="114B3475"/>
    <w:rsid w:val="114C494B"/>
    <w:rsid w:val="11555F29"/>
    <w:rsid w:val="115D0906"/>
    <w:rsid w:val="116577BB"/>
    <w:rsid w:val="11692E07"/>
    <w:rsid w:val="11736D6B"/>
    <w:rsid w:val="119A7465"/>
    <w:rsid w:val="11BF6AA0"/>
    <w:rsid w:val="11D330EB"/>
    <w:rsid w:val="11EE05B9"/>
    <w:rsid w:val="11FA1551"/>
    <w:rsid w:val="120D40DA"/>
    <w:rsid w:val="12176D07"/>
    <w:rsid w:val="121E6C0A"/>
    <w:rsid w:val="122265BC"/>
    <w:rsid w:val="123E3820"/>
    <w:rsid w:val="124473D0"/>
    <w:rsid w:val="126857B5"/>
    <w:rsid w:val="126B6F53"/>
    <w:rsid w:val="1272218F"/>
    <w:rsid w:val="12772FE4"/>
    <w:rsid w:val="127B5307"/>
    <w:rsid w:val="127F0CDB"/>
    <w:rsid w:val="128876EE"/>
    <w:rsid w:val="12AB744F"/>
    <w:rsid w:val="12ED7A68"/>
    <w:rsid w:val="131274CE"/>
    <w:rsid w:val="132552F2"/>
    <w:rsid w:val="13367661"/>
    <w:rsid w:val="133B07D3"/>
    <w:rsid w:val="135D2E40"/>
    <w:rsid w:val="13643432"/>
    <w:rsid w:val="1373376A"/>
    <w:rsid w:val="137A57A0"/>
    <w:rsid w:val="1399374C"/>
    <w:rsid w:val="13A9398F"/>
    <w:rsid w:val="13BB7357"/>
    <w:rsid w:val="13C54541"/>
    <w:rsid w:val="13DB5B12"/>
    <w:rsid w:val="13F470C5"/>
    <w:rsid w:val="13FB7F63"/>
    <w:rsid w:val="14074B59"/>
    <w:rsid w:val="142960D0"/>
    <w:rsid w:val="143771ED"/>
    <w:rsid w:val="14486622"/>
    <w:rsid w:val="144C07BE"/>
    <w:rsid w:val="1464048A"/>
    <w:rsid w:val="147E4E1C"/>
    <w:rsid w:val="1486133C"/>
    <w:rsid w:val="14B2446E"/>
    <w:rsid w:val="14BC1DE8"/>
    <w:rsid w:val="14CA0061"/>
    <w:rsid w:val="14DC1B42"/>
    <w:rsid w:val="14E17F16"/>
    <w:rsid w:val="14E9250C"/>
    <w:rsid w:val="1514752E"/>
    <w:rsid w:val="151B08BC"/>
    <w:rsid w:val="15363706"/>
    <w:rsid w:val="1537141C"/>
    <w:rsid w:val="153876C0"/>
    <w:rsid w:val="153E27FD"/>
    <w:rsid w:val="15545B7C"/>
    <w:rsid w:val="15681628"/>
    <w:rsid w:val="156C635D"/>
    <w:rsid w:val="156F29B6"/>
    <w:rsid w:val="15877D00"/>
    <w:rsid w:val="15893732"/>
    <w:rsid w:val="1594241D"/>
    <w:rsid w:val="15997A33"/>
    <w:rsid w:val="159A6A11"/>
    <w:rsid w:val="159D39C7"/>
    <w:rsid w:val="15A72150"/>
    <w:rsid w:val="15BA6327"/>
    <w:rsid w:val="15BC5381"/>
    <w:rsid w:val="15C01464"/>
    <w:rsid w:val="15E218CE"/>
    <w:rsid w:val="15E50ECA"/>
    <w:rsid w:val="15EE5FD1"/>
    <w:rsid w:val="15F07F9B"/>
    <w:rsid w:val="16026BD5"/>
    <w:rsid w:val="16092D09"/>
    <w:rsid w:val="1658169C"/>
    <w:rsid w:val="16586EF7"/>
    <w:rsid w:val="165A3666"/>
    <w:rsid w:val="167E55A7"/>
    <w:rsid w:val="16846935"/>
    <w:rsid w:val="16A566F6"/>
    <w:rsid w:val="16AB2114"/>
    <w:rsid w:val="16D35CCD"/>
    <w:rsid w:val="16D74CB7"/>
    <w:rsid w:val="16E64EFA"/>
    <w:rsid w:val="16E80C72"/>
    <w:rsid w:val="16FF4242"/>
    <w:rsid w:val="170045BA"/>
    <w:rsid w:val="173C5E4F"/>
    <w:rsid w:val="173E378E"/>
    <w:rsid w:val="17487963"/>
    <w:rsid w:val="174D6D27"/>
    <w:rsid w:val="17683B61"/>
    <w:rsid w:val="177B5642"/>
    <w:rsid w:val="178564C1"/>
    <w:rsid w:val="178F7340"/>
    <w:rsid w:val="17A257E9"/>
    <w:rsid w:val="17AD5A18"/>
    <w:rsid w:val="17BF3CB7"/>
    <w:rsid w:val="17D704CA"/>
    <w:rsid w:val="17DA4A5F"/>
    <w:rsid w:val="17EE2E8F"/>
    <w:rsid w:val="17F43647"/>
    <w:rsid w:val="17F83137"/>
    <w:rsid w:val="18115FA7"/>
    <w:rsid w:val="181B6E25"/>
    <w:rsid w:val="181F6915"/>
    <w:rsid w:val="1820443C"/>
    <w:rsid w:val="182932F0"/>
    <w:rsid w:val="18444E16"/>
    <w:rsid w:val="18583BD5"/>
    <w:rsid w:val="185D2F9A"/>
    <w:rsid w:val="188161C6"/>
    <w:rsid w:val="18916207"/>
    <w:rsid w:val="18CE3E98"/>
    <w:rsid w:val="18DA6CE0"/>
    <w:rsid w:val="18DF0205"/>
    <w:rsid w:val="18E13BCB"/>
    <w:rsid w:val="18FA5D0B"/>
    <w:rsid w:val="190C3220"/>
    <w:rsid w:val="190D49C0"/>
    <w:rsid w:val="19120228"/>
    <w:rsid w:val="191F64A1"/>
    <w:rsid w:val="193B777F"/>
    <w:rsid w:val="1941466A"/>
    <w:rsid w:val="194A7D0C"/>
    <w:rsid w:val="194D74B2"/>
    <w:rsid w:val="19742C91"/>
    <w:rsid w:val="197779E3"/>
    <w:rsid w:val="19951B48"/>
    <w:rsid w:val="19A30E80"/>
    <w:rsid w:val="19A31EA5"/>
    <w:rsid w:val="19CF1C75"/>
    <w:rsid w:val="19E576EB"/>
    <w:rsid w:val="19F33B7F"/>
    <w:rsid w:val="19F93196"/>
    <w:rsid w:val="1A5F124B"/>
    <w:rsid w:val="1A8213DE"/>
    <w:rsid w:val="1A89451A"/>
    <w:rsid w:val="1A9963FA"/>
    <w:rsid w:val="1AC35C7E"/>
    <w:rsid w:val="1AD164B0"/>
    <w:rsid w:val="1ADC289C"/>
    <w:rsid w:val="1AE23C2A"/>
    <w:rsid w:val="1AF549B6"/>
    <w:rsid w:val="1B244243"/>
    <w:rsid w:val="1B4E306E"/>
    <w:rsid w:val="1B5A1A13"/>
    <w:rsid w:val="1B676620"/>
    <w:rsid w:val="1B7C7BDB"/>
    <w:rsid w:val="1B852F33"/>
    <w:rsid w:val="1B866CAC"/>
    <w:rsid w:val="1BB13D28"/>
    <w:rsid w:val="1BCB2652"/>
    <w:rsid w:val="1BD712B5"/>
    <w:rsid w:val="1BEE6D2B"/>
    <w:rsid w:val="1BFC0495"/>
    <w:rsid w:val="1C16031D"/>
    <w:rsid w:val="1C1B432F"/>
    <w:rsid w:val="1C281B11"/>
    <w:rsid w:val="1C44694B"/>
    <w:rsid w:val="1C7136D8"/>
    <w:rsid w:val="1C8011E8"/>
    <w:rsid w:val="1C9378D2"/>
    <w:rsid w:val="1C951630"/>
    <w:rsid w:val="1CA05B4B"/>
    <w:rsid w:val="1CC655B2"/>
    <w:rsid w:val="1CEE4B08"/>
    <w:rsid w:val="1D167BBB"/>
    <w:rsid w:val="1D37200B"/>
    <w:rsid w:val="1D3764AF"/>
    <w:rsid w:val="1D7A639C"/>
    <w:rsid w:val="1D9C6312"/>
    <w:rsid w:val="1DB63878"/>
    <w:rsid w:val="1DB95116"/>
    <w:rsid w:val="1DC55869"/>
    <w:rsid w:val="1DC82BFE"/>
    <w:rsid w:val="1DCD471E"/>
    <w:rsid w:val="1DF63C75"/>
    <w:rsid w:val="1E0C793C"/>
    <w:rsid w:val="1E1B7B7F"/>
    <w:rsid w:val="1E2E283D"/>
    <w:rsid w:val="1E5C60E6"/>
    <w:rsid w:val="1E5D3CF4"/>
    <w:rsid w:val="1E681462"/>
    <w:rsid w:val="1E74728F"/>
    <w:rsid w:val="1E870D71"/>
    <w:rsid w:val="1E9811D0"/>
    <w:rsid w:val="1EAD37EC"/>
    <w:rsid w:val="1EB3600A"/>
    <w:rsid w:val="1EF07D0A"/>
    <w:rsid w:val="1EF33837"/>
    <w:rsid w:val="1F0D396C"/>
    <w:rsid w:val="1F3031B6"/>
    <w:rsid w:val="1F3802BD"/>
    <w:rsid w:val="1F7A6B27"/>
    <w:rsid w:val="1F841754"/>
    <w:rsid w:val="1F9C3AFA"/>
    <w:rsid w:val="1FC46539"/>
    <w:rsid w:val="1FD00E7A"/>
    <w:rsid w:val="1FDA419A"/>
    <w:rsid w:val="20230F6D"/>
    <w:rsid w:val="202D76F6"/>
    <w:rsid w:val="203E59F5"/>
    <w:rsid w:val="206C2914"/>
    <w:rsid w:val="20A26336"/>
    <w:rsid w:val="20AE6A88"/>
    <w:rsid w:val="20DA5ACF"/>
    <w:rsid w:val="20DE6C42"/>
    <w:rsid w:val="20E85004"/>
    <w:rsid w:val="20FA3A7C"/>
    <w:rsid w:val="20FA7F20"/>
    <w:rsid w:val="210466A8"/>
    <w:rsid w:val="211A5ECC"/>
    <w:rsid w:val="21352D06"/>
    <w:rsid w:val="213D53EE"/>
    <w:rsid w:val="21425423"/>
    <w:rsid w:val="21432277"/>
    <w:rsid w:val="21463165"/>
    <w:rsid w:val="214C0DE1"/>
    <w:rsid w:val="21584C46"/>
    <w:rsid w:val="21A97250"/>
    <w:rsid w:val="21B53E47"/>
    <w:rsid w:val="21B77BBF"/>
    <w:rsid w:val="21BC6F83"/>
    <w:rsid w:val="21DD6EFA"/>
    <w:rsid w:val="21DF0EC4"/>
    <w:rsid w:val="22047B51"/>
    <w:rsid w:val="22356D36"/>
    <w:rsid w:val="223B235D"/>
    <w:rsid w:val="224C47AB"/>
    <w:rsid w:val="227C216E"/>
    <w:rsid w:val="227D5ED7"/>
    <w:rsid w:val="22812EA5"/>
    <w:rsid w:val="22877591"/>
    <w:rsid w:val="22A068A5"/>
    <w:rsid w:val="22AA14D2"/>
    <w:rsid w:val="22AD4B1E"/>
    <w:rsid w:val="22AF6994"/>
    <w:rsid w:val="22C00CF5"/>
    <w:rsid w:val="22C63C28"/>
    <w:rsid w:val="23144B9D"/>
    <w:rsid w:val="23294AEC"/>
    <w:rsid w:val="23565C4C"/>
    <w:rsid w:val="23573938"/>
    <w:rsid w:val="23665108"/>
    <w:rsid w:val="239161EE"/>
    <w:rsid w:val="239A1546"/>
    <w:rsid w:val="239A347C"/>
    <w:rsid w:val="23A221A9"/>
    <w:rsid w:val="23AC5AAD"/>
    <w:rsid w:val="23B02B18"/>
    <w:rsid w:val="23BF129B"/>
    <w:rsid w:val="23C44815"/>
    <w:rsid w:val="23CA1BD8"/>
    <w:rsid w:val="23CB16FF"/>
    <w:rsid w:val="23D67991"/>
    <w:rsid w:val="23DD1433"/>
    <w:rsid w:val="23DF33FD"/>
    <w:rsid w:val="23E822B1"/>
    <w:rsid w:val="23F23130"/>
    <w:rsid w:val="23FC5D5D"/>
    <w:rsid w:val="2406098A"/>
    <w:rsid w:val="245740E8"/>
    <w:rsid w:val="245E4322"/>
    <w:rsid w:val="24665BEA"/>
    <w:rsid w:val="246C0A48"/>
    <w:rsid w:val="247A5093"/>
    <w:rsid w:val="24B623B0"/>
    <w:rsid w:val="24C32858"/>
    <w:rsid w:val="24C71835"/>
    <w:rsid w:val="24C8155E"/>
    <w:rsid w:val="24CF521F"/>
    <w:rsid w:val="24DC0326"/>
    <w:rsid w:val="24E567F1"/>
    <w:rsid w:val="25070E5D"/>
    <w:rsid w:val="25184E18"/>
    <w:rsid w:val="251D242F"/>
    <w:rsid w:val="251D41DD"/>
    <w:rsid w:val="25283D1B"/>
    <w:rsid w:val="25290DD3"/>
    <w:rsid w:val="252A68FA"/>
    <w:rsid w:val="253357AE"/>
    <w:rsid w:val="254E083A"/>
    <w:rsid w:val="256242E5"/>
    <w:rsid w:val="25665B84"/>
    <w:rsid w:val="25780037"/>
    <w:rsid w:val="2580476C"/>
    <w:rsid w:val="2584600A"/>
    <w:rsid w:val="25855B00"/>
    <w:rsid w:val="25893EFB"/>
    <w:rsid w:val="25AE5FF7"/>
    <w:rsid w:val="25CA0D6E"/>
    <w:rsid w:val="25D95CAF"/>
    <w:rsid w:val="25DF76E4"/>
    <w:rsid w:val="25E20F82"/>
    <w:rsid w:val="25F211C5"/>
    <w:rsid w:val="26396DF4"/>
    <w:rsid w:val="26415CA9"/>
    <w:rsid w:val="26615990"/>
    <w:rsid w:val="26695200"/>
    <w:rsid w:val="266D4CF0"/>
    <w:rsid w:val="2670658E"/>
    <w:rsid w:val="26A76454"/>
    <w:rsid w:val="26D11723"/>
    <w:rsid w:val="26D712AB"/>
    <w:rsid w:val="26E635A9"/>
    <w:rsid w:val="26F947D6"/>
    <w:rsid w:val="271909D4"/>
    <w:rsid w:val="2734580E"/>
    <w:rsid w:val="273D2914"/>
    <w:rsid w:val="274041B2"/>
    <w:rsid w:val="274C2B57"/>
    <w:rsid w:val="276460F3"/>
    <w:rsid w:val="27734588"/>
    <w:rsid w:val="278C3C3F"/>
    <w:rsid w:val="27C27F3D"/>
    <w:rsid w:val="27CE17BE"/>
    <w:rsid w:val="27D05112"/>
    <w:rsid w:val="27D44B5E"/>
    <w:rsid w:val="27D50D9F"/>
    <w:rsid w:val="27F25A6D"/>
    <w:rsid w:val="28017DE6"/>
    <w:rsid w:val="280478D6"/>
    <w:rsid w:val="281318C7"/>
    <w:rsid w:val="28137CE0"/>
    <w:rsid w:val="281E30AB"/>
    <w:rsid w:val="28277120"/>
    <w:rsid w:val="282E6701"/>
    <w:rsid w:val="28330D5C"/>
    <w:rsid w:val="28335AC5"/>
    <w:rsid w:val="283C7070"/>
    <w:rsid w:val="28727BDF"/>
    <w:rsid w:val="287C121A"/>
    <w:rsid w:val="288A7DDB"/>
    <w:rsid w:val="28BA1D43"/>
    <w:rsid w:val="28D66A68"/>
    <w:rsid w:val="29035EF5"/>
    <w:rsid w:val="290C7B53"/>
    <w:rsid w:val="291122AA"/>
    <w:rsid w:val="291D29FD"/>
    <w:rsid w:val="291E49C7"/>
    <w:rsid w:val="292C2C40"/>
    <w:rsid w:val="29930F11"/>
    <w:rsid w:val="29A203B3"/>
    <w:rsid w:val="29FB2613"/>
    <w:rsid w:val="2A133E00"/>
    <w:rsid w:val="2A135BAE"/>
    <w:rsid w:val="2A16744D"/>
    <w:rsid w:val="2A1E2978"/>
    <w:rsid w:val="2A443FBA"/>
    <w:rsid w:val="2A486993"/>
    <w:rsid w:val="2A557F75"/>
    <w:rsid w:val="2A5A1A2F"/>
    <w:rsid w:val="2A5C57A7"/>
    <w:rsid w:val="2A7970B5"/>
    <w:rsid w:val="2A810F4F"/>
    <w:rsid w:val="2A9036A3"/>
    <w:rsid w:val="2A9767DF"/>
    <w:rsid w:val="2A9A62D0"/>
    <w:rsid w:val="2A9E191C"/>
    <w:rsid w:val="2AA8279A"/>
    <w:rsid w:val="2AB03DA2"/>
    <w:rsid w:val="2AB253C7"/>
    <w:rsid w:val="2AB75F1B"/>
    <w:rsid w:val="2B195446"/>
    <w:rsid w:val="2B2D2CA0"/>
    <w:rsid w:val="2B381D70"/>
    <w:rsid w:val="2B4D7075"/>
    <w:rsid w:val="2B5215A8"/>
    <w:rsid w:val="2B5D3585"/>
    <w:rsid w:val="2B8D373E"/>
    <w:rsid w:val="2B980A61"/>
    <w:rsid w:val="2B9B04CB"/>
    <w:rsid w:val="2BAC0068"/>
    <w:rsid w:val="2BC2163A"/>
    <w:rsid w:val="2BE315B0"/>
    <w:rsid w:val="2BEB6DE3"/>
    <w:rsid w:val="2C091017"/>
    <w:rsid w:val="2C104283"/>
    <w:rsid w:val="2C1125C1"/>
    <w:rsid w:val="2C194F4F"/>
    <w:rsid w:val="2C1B4F90"/>
    <w:rsid w:val="2C287C60"/>
    <w:rsid w:val="2C3047F6"/>
    <w:rsid w:val="2C673F8F"/>
    <w:rsid w:val="2C6B4AC3"/>
    <w:rsid w:val="2C7F51A8"/>
    <w:rsid w:val="2C972542"/>
    <w:rsid w:val="2C9C04B7"/>
    <w:rsid w:val="2CB25B52"/>
    <w:rsid w:val="2CB35427"/>
    <w:rsid w:val="2CBC42DB"/>
    <w:rsid w:val="2CBE4FC9"/>
    <w:rsid w:val="2CE06F89"/>
    <w:rsid w:val="2CE11F94"/>
    <w:rsid w:val="2CE43832"/>
    <w:rsid w:val="2CEF46B1"/>
    <w:rsid w:val="2CF9552F"/>
    <w:rsid w:val="2CFE66A2"/>
    <w:rsid w:val="2D170DFB"/>
    <w:rsid w:val="2D1934DC"/>
    <w:rsid w:val="2D2325AC"/>
    <w:rsid w:val="2D314CC9"/>
    <w:rsid w:val="2D616C31"/>
    <w:rsid w:val="2D7352E2"/>
    <w:rsid w:val="2D7468E7"/>
    <w:rsid w:val="2D855015"/>
    <w:rsid w:val="2DBA2F11"/>
    <w:rsid w:val="2DDB4C35"/>
    <w:rsid w:val="2DE33AEA"/>
    <w:rsid w:val="2DEC604F"/>
    <w:rsid w:val="2DF47AA5"/>
    <w:rsid w:val="2DFB7085"/>
    <w:rsid w:val="2E0423DE"/>
    <w:rsid w:val="2E0F48DF"/>
    <w:rsid w:val="2E1942EA"/>
    <w:rsid w:val="2E1B14D5"/>
    <w:rsid w:val="2E254102"/>
    <w:rsid w:val="2E255EB0"/>
    <w:rsid w:val="2E316B4F"/>
    <w:rsid w:val="2E3A5DFF"/>
    <w:rsid w:val="2E3B3926"/>
    <w:rsid w:val="2E47051C"/>
    <w:rsid w:val="2E580034"/>
    <w:rsid w:val="2E6B420B"/>
    <w:rsid w:val="2E6E40B7"/>
    <w:rsid w:val="2E8928E3"/>
    <w:rsid w:val="2E9757EF"/>
    <w:rsid w:val="2EA161B8"/>
    <w:rsid w:val="2EA8720D"/>
    <w:rsid w:val="2EB3170E"/>
    <w:rsid w:val="2EC41B6D"/>
    <w:rsid w:val="2EC92CDF"/>
    <w:rsid w:val="2EF44200"/>
    <w:rsid w:val="2F067A90"/>
    <w:rsid w:val="2F1A353B"/>
    <w:rsid w:val="2F34284F"/>
    <w:rsid w:val="2F397E65"/>
    <w:rsid w:val="2F4A2072"/>
    <w:rsid w:val="2F4E0F62"/>
    <w:rsid w:val="2F612CA1"/>
    <w:rsid w:val="2F6D2868"/>
    <w:rsid w:val="2F7075FF"/>
    <w:rsid w:val="2F8530AA"/>
    <w:rsid w:val="2F8877DE"/>
    <w:rsid w:val="2F8F5CD7"/>
    <w:rsid w:val="2FF67B04"/>
    <w:rsid w:val="2FFD5337"/>
    <w:rsid w:val="30030473"/>
    <w:rsid w:val="300C557A"/>
    <w:rsid w:val="301A5EE8"/>
    <w:rsid w:val="301F6188"/>
    <w:rsid w:val="302208F9"/>
    <w:rsid w:val="302B3C0E"/>
    <w:rsid w:val="3045283A"/>
    <w:rsid w:val="304E2C57"/>
    <w:rsid w:val="304F751B"/>
    <w:rsid w:val="30647164"/>
    <w:rsid w:val="307A6987"/>
    <w:rsid w:val="30894E1C"/>
    <w:rsid w:val="3095731D"/>
    <w:rsid w:val="30BC0D4E"/>
    <w:rsid w:val="30BF083E"/>
    <w:rsid w:val="30BF439A"/>
    <w:rsid w:val="30D14E34"/>
    <w:rsid w:val="30D512C3"/>
    <w:rsid w:val="30F6790D"/>
    <w:rsid w:val="30FB1054"/>
    <w:rsid w:val="310B0B9B"/>
    <w:rsid w:val="313528AE"/>
    <w:rsid w:val="31376626"/>
    <w:rsid w:val="31521EFD"/>
    <w:rsid w:val="315C66BB"/>
    <w:rsid w:val="31662A68"/>
    <w:rsid w:val="319677F1"/>
    <w:rsid w:val="31973569"/>
    <w:rsid w:val="31BC2509"/>
    <w:rsid w:val="31C3610C"/>
    <w:rsid w:val="31F938DC"/>
    <w:rsid w:val="32222E32"/>
    <w:rsid w:val="323E5792"/>
    <w:rsid w:val="324178CF"/>
    <w:rsid w:val="3247275C"/>
    <w:rsid w:val="3251196A"/>
    <w:rsid w:val="326A6587"/>
    <w:rsid w:val="326C2300"/>
    <w:rsid w:val="3273368E"/>
    <w:rsid w:val="32932F03"/>
    <w:rsid w:val="32A73338"/>
    <w:rsid w:val="32B2163F"/>
    <w:rsid w:val="32B242A9"/>
    <w:rsid w:val="32B31CDC"/>
    <w:rsid w:val="32B64F6A"/>
    <w:rsid w:val="32C91500"/>
    <w:rsid w:val="32D560F7"/>
    <w:rsid w:val="32DE1B82"/>
    <w:rsid w:val="32DF2AD1"/>
    <w:rsid w:val="32E165BD"/>
    <w:rsid w:val="32E77BD8"/>
    <w:rsid w:val="33014DEF"/>
    <w:rsid w:val="330B1B18"/>
    <w:rsid w:val="331F5547"/>
    <w:rsid w:val="334868C9"/>
    <w:rsid w:val="334943EF"/>
    <w:rsid w:val="335343BD"/>
    <w:rsid w:val="3355548A"/>
    <w:rsid w:val="336F3663"/>
    <w:rsid w:val="33A94C74"/>
    <w:rsid w:val="33AA1331"/>
    <w:rsid w:val="33BB353F"/>
    <w:rsid w:val="33C323F3"/>
    <w:rsid w:val="33C5616B"/>
    <w:rsid w:val="33E505BB"/>
    <w:rsid w:val="33E64505"/>
    <w:rsid w:val="341B4D8B"/>
    <w:rsid w:val="34515C51"/>
    <w:rsid w:val="34565015"/>
    <w:rsid w:val="347A51A8"/>
    <w:rsid w:val="348E0C53"/>
    <w:rsid w:val="348F0527"/>
    <w:rsid w:val="349E0CD4"/>
    <w:rsid w:val="34A915E9"/>
    <w:rsid w:val="34D83C7C"/>
    <w:rsid w:val="34E22105"/>
    <w:rsid w:val="34F12F90"/>
    <w:rsid w:val="351006CF"/>
    <w:rsid w:val="3518676F"/>
    <w:rsid w:val="354C4FE6"/>
    <w:rsid w:val="356B3EAB"/>
    <w:rsid w:val="35823C32"/>
    <w:rsid w:val="358931C8"/>
    <w:rsid w:val="35977693"/>
    <w:rsid w:val="35C83CF1"/>
    <w:rsid w:val="35DE1766"/>
    <w:rsid w:val="35F20D6E"/>
    <w:rsid w:val="35FE5252"/>
    <w:rsid w:val="36013C76"/>
    <w:rsid w:val="36062A6B"/>
    <w:rsid w:val="36213401"/>
    <w:rsid w:val="363C6711"/>
    <w:rsid w:val="363E2205"/>
    <w:rsid w:val="36525CB0"/>
    <w:rsid w:val="365D6B2F"/>
    <w:rsid w:val="36632955"/>
    <w:rsid w:val="367221BD"/>
    <w:rsid w:val="3682739B"/>
    <w:rsid w:val="3687595A"/>
    <w:rsid w:val="36981915"/>
    <w:rsid w:val="369D23B3"/>
    <w:rsid w:val="36AA789A"/>
    <w:rsid w:val="36BB1AA7"/>
    <w:rsid w:val="36C02C1A"/>
    <w:rsid w:val="36C45B89"/>
    <w:rsid w:val="36DD37CC"/>
    <w:rsid w:val="36E508D2"/>
    <w:rsid w:val="36E56B24"/>
    <w:rsid w:val="36E77377"/>
    <w:rsid w:val="36F54252"/>
    <w:rsid w:val="36FB1EA4"/>
    <w:rsid w:val="370A20E7"/>
    <w:rsid w:val="37215DAE"/>
    <w:rsid w:val="372431A9"/>
    <w:rsid w:val="37357164"/>
    <w:rsid w:val="37386C54"/>
    <w:rsid w:val="375068B1"/>
    <w:rsid w:val="37711A02"/>
    <w:rsid w:val="377A54BF"/>
    <w:rsid w:val="379F4F25"/>
    <w:rsid w:val="37A75B88"/>
    <w:rsid w:val="37AD7642"/>
    <w:rsid w:val="37AF6474"/>
    <w:rsid w:val="37B564F7"/>
    <w:rsid w:val="37BA58BB"/>
    <w:rsid w:val="37CD58AC"/>
    <w:rsid w:val="37EE37B7"/>
    <w:rsid w:val="37F40CE9"/>
    <w:rsid w:val="37FB509E"/>
    <w:rsid w:val="3814321D"/>
    <w:rsid w:val="38194CD8"/>
    <w:rsid w:val="38213B8C"/>
    <w:rsid w:val="38284F1B"/>
    <w:rsid w:val="38291B10"/>
    <w:rsid w:val="3842422E"/>
    <w:rsid w:val="387C0DC3"/>
    <w:rsid w:val="388C36FB"/>
    <w:rsid w:val="389820A0"/>
    <w:rsid w:val="38A04AB1"/>
    <w:rsid w:val="38A10829"/>
    <w:rsid w:val="38AF73EA"/>
    <w:rsid w:val="38B844F1"/>
    <w:rsid w:val="38CA7D80"/>
    <w:rsid w:val="38E906C5"/>
    <w:rsid w:val="39074B30"/>
    <w:rsid w:val="390A6D96"/>
    <w:rsid w:val="39184F8F"/>
    <w:rsid w:val="392F4087"/>
    <w:rsid w:val="394C46CD"/>
    <w:rsid w:val="39565AB7"/>
    <w:rsid w:val="3962620A"/>
    <w:rsid w:val="39754190"/>
    <w:rsid w:val="397877DC"/>
    <w:rsid w:val="398919E9"/>
    <w:rsid w:val="398E6FFF"/>
    <w:rsid w:val="39C26CA9"/>
    <w:rsid w:val="39DF5AAD"/>
    <w:rsid w:val="39EB559F"/>
    <w:rsid w:val="3A306308"/>
    <w:rsid w:val="3A322081"/>
    <w:rsid w:val="3A3C6A5B"/>
    <w:rsid w:val="3A3E27D3"/>
    <w:rsid w:val="3A4B5E12"/>
    <w:rsid w:val="3A555D6F"/>
    <w:rsid w:val="3A60099C"/>
    <w:rsid w:val="3A6F5802"/>
    <w:rsid w:val="3A7461F5"/>
    <w:rsid w:val="3A7C2F07"/>
    <w:rsid w:val="3A9B5311"/>
    <w:rsid w:val="3AB74334"/>
    <w:rsid w:val="3ACF44C3"/>
    <w:rsid w:val="3AF61300"/>
    <w:rsid w:val="3B037579"/>
    <w:rsid w:val="3B0D21A6"/>
    <w:rsid w:val="3B181276"/>
    <w:rsid w:val="3B1B30D7"/>
    <w:rsid w:val="3B20012B"/>
    <w:rsid w:val="3B2220F5"/>
    <w:rsid w:val="3B252A87"/>
    <w:rsid w:val="3B4262F3"/>
    <w:rsid w:val="3B491430"/>
    <w:rsid w:val="3B4C2CCE"/>
    <w:rsid w:val="3B567FF1"/>
    <w:rsid w:val="3B660234"/>
    <w:rsid w:val="3B6F4C0F"/>
    <w:rsid w:val="3B714E2B"/>
    <w:rsid w:val="3B7627E6"/>
    <w:rsid w:val="3B9052B1"/>
    <w:rsid w:val="3B9D79CE"/>
    <w:rsid w:val="3BAD7E08"/>
    <w:rsid w:val="3BC90386"/>
    <w:rsid w:val="3BD2507F"/>
    <w:rsid w:val="3BD57167"/>
    <w:rsid w:val="3BE23632"/>
    <w:rsid w:val="3BF21AC7"/>
    <w:rsid w:val="3C095063"/>
    <w:rsid w:val="3C20321B"/>
    <w:rsid w:val="3C326368"/>
    <w:rsid w:val="3C5F4C83"/>
    <w:rsid w:val="3C687FDC"/>
    <w:rsid w:val="3C69083B"/>
    <w:rsid w:val="3C8446EA"/>
    <w:rsid w:val="3C8B386E"/>
    <w:rsid w:val="3C920BB5"/>
    <w:rsid w:val="3C991F43"/>
    <w:rsid w:val="3CA37266"/>
    <w:rsid w:val="3CB7686D"/>
    <w:rsid w:val="3CBB635D"/>
    <w:rsid w:val="3CCD7E3F"/>
    <w:rsid w:val="3CCF03AF"/>
    <w:rsid w:val="3CD411CD"/>
    <w:rsid w:val="3CE25F1F"/>
    <w:rsid w:val="3CE60F00"/>
    <w:rsid w:val="3CF4361D"/>
    <w:rsid w:val="3CF632ED"/>
    <w:rsid w:val="3CF93E62"/>
    <w:rsid w:val="3D0F5FEB"/>
    <w:rsid w:val="3D1951DA"/>
    <w:rsid w:val="3D1B6DFC"/>
    <w:rsid w:val="3D1E4B3E"/>
    <w:rsid w:val="3D3B124C"/>
    <w:rsid w:val="3D583BAC"/>
    <w:rsid w:val="3D5D5666"/>
    <w:rsid w:val="3D604135"/>
    <w:rsid w:val="3D7604D6"/>
    <w:rsid w:val="3DAB4624"/>
    <w:rsid w:val="3DAC48ED"/>
    <w:rsid w:val="3DB12122"/>
    <w:rsid w:val="3DBF38A8"/>
    <w:rsid w:val="3DCB0822"/>
    <w:rsid w:val="3DCB6200"/>
    <w:rsid w:val="3DEB7C6F"/>
    <w:rsid w:val="3DFE0BF8"/>
    <w:rsid w:val="3E0419F9"/>
    <w:rsid w:val="3E155F41"/>
    <w:rsid w:val="3E241CE0"/>
    <w:rsid w:val="3E3512C4"/>
    <w:rsid w:val="3E453D00"/>
    <w:rsid w:val="3E49157C"/>
    <w:rsid w:val="3E4E37F7"/>
    <w:rsid w:val="3E546A69"/>
    <w:rsid w:val="3E5962A7"/>
    <w:rsid w:val="3E5C63CE"/>
    <w:rsid w:val="3E802591"/>
    <w:rsid w:val="3E990920"/>
    <w:rsid w:val="3EAD4319"/>
    <w:rsid w:val="3EB017C6"/>
    <w:rsid w:val="3EB412B6"/>
    <w:rsid w:val="3F006809"/>
    <w:rsid w:val="3F014A27"/>
    <w:rsid w:val="3F045362"/>
    <w:rsid w:val="3F0A35CC"/>
    <w:rsid w:val="3F185CE9"/>
    <w:rsid w:val="3F2F6B8F"/>
    <w:rsid w:val="3F3917BB"/>
    <w:rsid w:val="3F3E5024"/>
    <w:rsid w:val="3F551CDA"/>
    <w:rsid w:val="3F5B7984"/>
    <w:rsid w:val="3F786788"/>
    <w:rsid w:val="3F7E04B8"/>
    <w:rsid w:val="3F874C1D"/>
    <w:rsid w:val="3F9F3D14"/>
    <w:rsid w:val="3FA550A3"/>
    <w:rsid w:val="3FBB7577"/>
    <w:rsid w:val="3FF20A09"/>
    <w:rsid w:val="3FF5207C"/>
    <w:rsid w:val="400A234C"/>
    <w:rsid w:val="401069C0"/>
    <w:rsid w:val="401F6C03"/>
    <w:rsid w:val="404A3285"/>
    <w:rsid w:val="404B7674"/>
    <w:rsid w:val="405A7C3B"/>
    <w:rsid w:val="40672358"/>
    <w:rsid w:val="406E309D"/>
    <w:rsid w:val="40774C91"/>
    <w:rsid w:val="40776A3F"/>
    <w:rsid w:val="40A02F12"/>
    <w:rsid w:val="40C5044D"/>
    <w:rsid w:val="410D2F49"/>
    <w:rsid w:val="411F238D"/>
    <w:rsid w:val="41466412"/>
    <w:rsid w:val="41506DB8"/>
    <w:rsid w:val="41650F8E"/>
    <w:rsid w:val="41676AB4"/>
    <w:rsid w:val="416E29A7"/>
    <w:rsid w:val="41A82C28"/>
    <w:rsid w:val="41BB0BAE"/>
    <w:rsid w:val="41EE4ADF"/>
    <w:rsid w:val="42181B5C"/>
    <w:rsid w:val="424B1F31"/>
    <w:rsid w:val="42643C2F"/>
    <w:rsid w:val="426E5C20"/>
    <w:rsid w:val="426F186F"/>
    <w:rsid w:val="42764AD5"/>
    <w:rsid w:val="42776CD8"/>
    <w:rsid w:val="42862F6A"/>
    <w:rsid w:val="42A25018"/>
    <w:rsid w:val="42AD6748"/>
    <w:rsid w:val="42AE0712"/>
    <w:rsid w:val="42B0448A"/>
    <w:rsid w:val="42EB1488"/>
    <w:rsid w:val="42EF6D61"/>
    <w:rsid w:val="42F97BDF"/>
    <w:rsid w:val="43142587"/>
    <w:rsid w:val="432033BE"/>
    <w:rsid w:val="43252888"/>
    <w:rsid w:val="434A4EED"/>
    <w:rsid w:val="435117C9"/>
    <w:rsid w:val="4366429B"/>
    <w:rsid w:val="436F39FE"/>
    <w:rsid w:val="43741014"/>
    <w:rsid w:val="439D67BD"/>
    <w:rsid w:val="43AE1550"/>
    <w:rsid w:val="43AF4742"/>
    <w:rsid w:val="43CC70A2"/>
    <w:rsid w:val="43D62240"/>
    <w:rsid w:val="43DE6DD5"/>
    <w:rsid w:val="43F6411F"/>
    <w:rsid w:val="442A3DC9"/>
    <w:rsid w:val="44735770"/>
    <w:rsid w:val="447B4624"/>
    <w:rsid w:val="449000D0"/>
    <w:rsid w:val="44953938"/>
    <w:rsid w:val="449C4CC6"/>
    <w:rsid w:val="44A43B7B"/>
    <w:rsid w:val="44C10289"/>
    <w:rsid w:val="44DA57EF"/>
    <w:rsid w:val="44E30AD5"/>
    <w:rsid w:val="44EE3048"/>
    <w:rsid w:val="44F85C75"/>
    <w:rsid w:val="44FA379B"/>
    <w:rsid w:val="44FC7D16"/>
    <w:rsid w:val="45050ABD"/>
    <w:rsid w:val="450F36EA"/>
    <w:rsid w:val="4517259F"/>
    <w:rsid w:val="452D1DC2"/>
    <w:rsid w:val="453727C7"/>
    <w:rsid w:val="453C21A9"/>
    <w:rsid w:val="453C389E"/>
    <w:rsid w:val="45462E84"/>
    <w:rsid w:val="456776D8"/>
    <w:rsid w:val="456B6447"/>
    <w:rsid w:val="45717F01"/>
    <w:rsid w:val="45965BB9"/>
    <w:rsid w:val="45974DD6"/>
    <w:rsid w:val="459B4F7E"/>
    <w:rsid w:val="45A04342"/>
    <w:rsid w:val="45BD3146"/>
    <w:rsid w:val="45C269AF"/>
    <w:rsid w:val="45C30240"/>
    <w:rsid w:val="45F14B9E"/>
    <w:rsid w:val="45F346FE"/>
    <w:rsid w:val="46003033"/>
    <w:rsid w:val="4663778E"/>
    <w:rsid w:val="466730B2"/>
    <w:rsid w:val="46696E2A"/>
    <w:rsid w:val="466E4440"/>
    <w:rsid w:val="468123C6"/>
    <w:rsid w:val="46821FB8"/>
    <w:rsid w:val="468772B0"/>
    <w:rsid w:val="468E063F"/>
    <w:rsid w:val="469046F5"/>
    <w:rsid w:val="469053FD"/>
    <w:rsid w:val="46911EDD"/>
    <w:rsid w:val="46973555"/>
    <w:rsid w:val="469A3487"/>
    <w:rsid w:val="469F43E0"/>
    <w:rsid w:val="46A47E62"/>
    <w:rsid w:val="46B04A59"/>
    <w:rsid w:val="46CD00CF"/>
    <w:rsid w:val="46E25725"/>
    <w:rsid w:val="46FA6F06"/>
    <w:rsid w:val="46FF32EA"/>
    <w:rsid w:val="470703F1"/>
    <w:rsid w:val="47140B9D"/>
    <w:rsid w:val="473B6404"/>
    <w:rsid w:val="47596E9F"/>
    <w:rsid w:val="477F442B"/>
    <w:rsid w:val="4783216D"/>
    <w:rsid w:val="478A52AA"/>
    <w:rsid w:val="47911556"/>
    <w:rsid w:val="47951EDD"/>
    <w:rsid w:val="479E2B03"/>
    <w:rsid w:val="47B10A89"/>
    <w:rsid w:val="47B265AF"/>
    <w:rsid w:val="47CA38F8"/>
    <w:rsid w:val="47FC5A7C"/>
    <w:rsid w:val="4800556C"/>
    <w:rsid w:val="480718F9"/>
    <w:rsid w:val="48166B3E"/>
    <w:rsid w:val="482E20D9"/>
    <w:rsid w:val="483D05F5"/>
    <w:rsid w:val="4856518C"/>
    <w:rsid w:val="48606A7C"/>
    <w:rsid w:val="486C0D74"/>
    <w:rsid w:val="486C7D0F"/>
    <w:rsid w:val="48831CF9"/>
    <w:rsid w:val="489C0F4C"/>
    <w:rsid w:val="48A44149"/>
    <w:rsid w:val="48C37CC6"/>
    <w:rsid w:val="48CC36A0"/>
    <w:rsid w:val="48DA400F"/>
    <w:rsid w:val="48DE550F"/>
    <w:rsid w:val="48EB621C"/>
    <w:rsid w:val="492D2391"/>
    <w:rsid w:val="495554EE"/>
    <w:rsid w:val="495711BC"/>
    <w:rsid w:val="49575660"/>
    <w:rsid w:val="495F2766"/>
    <w:rsid w:val="49633FAF"/>
    <w:rsid w:val="497A30FC"/>
    <w:rsid w:val="49900B72"/>
    <w:rsid w:val="499F2B63"/>
    <w:rsid w:val="49A32653"/>
    <w:rsid w:val="49A85EBB"/>
    <w:rsid w:val="49CD5922"/>
    <w:rsid w:val="49F932A7"/>
    <w:rsid w:val="49FD6207"/>
    <w:rsid w:val="4A17094B"/>
    <w:rsid w:val="4A174DEF"/>
    <w:rsid w:val="4A185411"/>
    <w:rsid w:val="4A4C6847"/>
    <w:rsid w:val="4A631DE2"/>
    <w:rsid w:val="4A7F3C52"/>
    <w:rsid w:val="4AC72FF8"/>
    <w:rsid w:val="4AD4683C"/>
    <w:rsid w:val="4AF63D48"/>
    <w:rsid w:val="4AFC64BF"/>
    <w:rsid w:val="4B3C4946"/>
    <w:rsid w:val="4B517E8D"/>
    <w:rsid w:val="4B5F1671"/>
    <w:rsid w:val="4B9F0243"/>
    <w:rsid w:val="4BB23021"/>
    <w:rsid w:val="4BB4505A"/>
    <w:rsid w:val="4BBD5522"/>
    <w:rsid w:val="4BC114B6"/>
    <w:rsid w:val="4BCD1C09"/>
    <w:rsid w:val="4BE62CCB"/>
    <w:rsid w:val="4BFC604B"/>
    <w:rsid w:val="4C147838"/>
    <w:rsid w:val="4C261319"/>
    <w:rsid w:val="4C2B6930"/>
    <w:rsid w:val="4C3B3017"/>
    <w:rsid w:val="4C4A5008"/>
    <w:rsid w:val="4C7547FE"/>
    <w:rsid w:val="4C7B1665"/>
    <w:rsid w:val="4C804ECE"/>
    <w:rsid w:val="4C8E0BA1"/>
    <w:rsid w:val="4CA23096"/>
    <w:rsid w:val="4CAF57B3"/>
    <w:rsid w:val="4CC1650F"/>
    <w:rsid w:val="4CD86AB8"/>
    <w:rsid w:val="4CEB22E7"/>
    <w:rsid w:val="4CEC4311"/>
    <w:rsid w:val="4CF03E01"/>
    <w:rsid w:val="4D103E7A"/>
    <w:rsid w:val="4D180D8B"/>
    <w:rsid w:val="4D1D096E"/>
    <w:rsid w:val="4D2D73F9"/>
    <w:rsid w:val="4D551ACE"/>
    <w:rsid w:val="4D553DB6"/>
    <w:rsid w:val="4DA4699A"/>
    <w:rsid w:val="4DA81276"/>
    <w:rsid w:val="4DA95214"/>
    <w:rsid w:val="4DAF0C37"/>
    <w:rsid w:val="4DB36BDD"/>
    <w:rsid w:val="4DBA61BD"/>
    <w:rsid w:val="4DBB6D4A"/>
    <w:rsid w:val="4DDB5705"/>
    <w:rsid w:val="4DE85E82"/>
    <w:rsid w:val="4DF01D13"/>
    <w:rsid w:val="4DF804B3"/>
    <w:rsid w:val="4E112002"/>
    <w:rsid w:val="4E4837C9"/>
    <w:rsid w:val="4E5E0A77"/>
    <w:rsid w:val="4E613D98"/>
    <w:rsid w:val="4E6A7BE3"/>
    <w:rsid w:val="4EA96528"/>
    <w:rsid w:val="4EC339EA"/>
    <w:rsid w:val="4EC60287"/>
    <w:rsid w:val="4ED07ED6"/>
    <w:rsid w:val="4ED61520"/>
    <w:rsid w:val="4EE111E4"/>
    <w:rsid w:val="4EE259CC"/>
    <w:rsid w:val="4EF61477"/>
    <w:rsid w:val="4EF92D15"/>
    <w:rsid w:val="4F1D395D"/>
    <w:rsid w:val="4F275AD4"/>
    <w:rsid w:val="4F3A75B6"/>
    <w:rsid w:val="4F642884"/>
    <w:rsid w:val="4F6939F7"/>
    <w:rsid w:val="4F936CC6"/>
    <w:rsid w:val="4F9842DC"/>
    <w:rsid w:val="4FA03191"/>
    <w:rsid w:val="4FAE3B00"/>
    <w:rsid w:val="50041972"/>
    <w:rsid w:val="5006624C"/>
    <w:rsid w:val="50120DD2"/>
    <w:rsid w:val="5019077B"/>
    <w:rsid w:val="501A1195"/>
    <w:rsid w:val="501A2F43"/>
    <w:rsid w:val="501F487D"/>
    <w:rsid w:val="502C2772"/>
    <w:rsid w:val="503C55AF"/>
    <w:rsid w:val="504F0E3F"/>
    <w:rsid w:val="506F5A91"/>
    <w:rsid w:val="507765E7"/>
    <w:rsid w:val="50901EE7"/>
    <w:rsid w:val="50996D51"/>
    <w:rsid w:val="50B25C49"/>
    <w:rsid w:val="50DC2E63"/>
    <w:rsid w:val="50EC0D83"/>
    <w:rsid w:val="50F80BA4"/>
    <w:rsid w:val="51002139"/>
    <w:rsid w:val="5105314D"/>
    <w:rsid w:val="510E1BA5"/>
    <w:rsid w:val="511E4E3D"/>
    <w:rsid w:val="51257DF2"/>
    <w:rsid w:val="512C73D2"/>
    <w:rsid w:val="51324FD6"/>
    <w:rsid w:val="514A6F00"/>
    <w:rsid w:val="51556929"/>
    <w:rsid w:val="516A1CA8"/>
    <w:rsid w:val="51703763"/>
    <w:rsid w:val="51713BAA"/>
    <w:rsid w:val="5187285A"/>
    <w:rsid w:val="51B03B5F"/>
    <w:rsid w:val="51BD61A3"/>
    <w:rsid w:val="51C53038"/>
    <w:rsid w:val="51CD2963"/>
    <w:rsid w:val="51DD691E"/>
    <w:rsid w:val="52247C5D"/>
    <w:rsid w:val="523522B6"/>
    <w:rsid w:val="52462715"/>
    <w:rsid w:val="524845E8"/>
    <w:rsid w:val="528143B1"/>
    <w:rsid w:val="528B2997"/>
    <w:rsid w:val="529369CF"/>
    <w:rsid w:val="529958C6"/>
    <w:rsid w:val="52C378C2"/>
    <w:rsid w:val="52D4387D"/>
    <w:rsid w:val="52DF48AE"/>
    <w:rsid w:val="53202F66"/>
    <w:rsid w:val="532221D4"/>
    <w:rsid w:val="5325232B"/>
    <w:rsid w:val="533B38FC"/>
    <w:rsid w:val="53590226"/>
    <w:rsid w:val="536E5A80"/>
    <w:rsid w:val="53755060"/>
    <w:rsid w:val="537C0582"/>
    <w:rsid w:val="538B48FE"/>
    <w:rsid w:val="53982AFD"/>
    <w:rsid w:val="539F3E8B"/>
    <w:rsid w:val="53AC47FA"/>
    <w:rsid w:val="53B4545D"/>
    <w:rsid w:val="53BF62DB"/>
    <w:rsid w:val="53C27B7A"/>
    <w:rsid w:val="53D0673A"/>
    <w:rsid w:val="53DA4EC3"/>
    <w:rsid w:val="53DC50DF"/>
    <w:rsid w:val="53F87A3F"/>
    <w:rsid w:val="54031D26"/>
    <w:rsid w:val="540D6097"/>
    <w:rsid w:val="540E1011"/>
    <w:rsid w:val="540E54DF"/>
    <w:rsid w:val="54120654"/>
    <w:rsid w:val="54370568"/>
    <w:rsid w:val="5454111A"/>
    <w:rsid w:val="548968E9"/>
    <w:rsid w:val="548B5AC9"/>
    <w:rsid w:val="54971006"/>
    <w:rsid w:val="54972DB4"/>
    <w:rsid w:val="549A50F7"/>
    <w:rsid w:val="54AB4AB2"/>
    <w:rsid w:val="54B90739"/>
    <w:rsid w:val="54BA6AA3"/>
    <w:rsid w:val="54CA5910"/>
    <w:rsid w:val="54E83610"/>
    <w:rsid w:val="554747DA"/>
    <w:rsid w:val="55482FE9"/>
    <w:rsid w:val="55665824"/>
    <w:rsid w:val="556F788D"/>
    <w:rsid w:val="55711857"/>
    <w:rsid w:val="55747088"/>
    <w:rsid w:val="55BB0D24"/>
    <w:rsid w:val="560432A7"/>
    <w:rsid w:val="56050C4F"/>
    <w:rsid w:val="561843C9"/>
    <w:rsid w:val="56222B52"/>
    <w:rsid w:val="56244555"/>
    <w:rsid w:val="56283574"/>
    <w:rsid w:val="562B7C58"/>
    <w:rsid w:val="563B3C13"/>
    <w:rsid w:val="56466840"/>
    <w:rsid w:val="56734818"/>
    <w:rsid w:val="568A2F7B"/>
    <w:rsid w:val="56B57E6A"/>
    <w:rsid w:val="56E60023"/>
    <w:rsid w:val="56F3629C"/>
    <w:rsid w:val="570F757A"/>
    <w:rsid w:val="572E1CE1"/>
    <w:rsid w:val="573C5E95"/>
    <w:rsid w:val="57404103"/>
    <w:rsid w:val="575136EE"/>
    <w:rsid w:val="576158FB"/>
    <w:rsid w:val="576176AA"/>
    <w:rsid w:val="579A246B"/>
    <w:rsid w:val="57A203EE"/>
    <w:rsid w:val="57BD0D84"/>
    <w:rsid w:val="581B3CFC"/>
    <w:rsid w:val="581F1A3E"/>
    <w:rsid w:val="584D797F"/>
    <w:rsid w:val="587B479B"/>
    <w:rsid w:val="58A7742D"/>
    <w:rsid w:val="58AC4CBD"/>
    <w:rsid w:val="58B02697"/>
    <w:rsid w:val="58D968E6"/>
    <w:rsid w:val="58E660B8"/>
    <w:rsid w:val="59017396"/>
    <w:rsid w:val="59084281"/>
    <w:rsid w:val="590D5D3B"/>
    <w:rsid w:val="59103135"/>
    <w:rsid w:val="591C41D0"/>
    <w:rsid w:val="59222300"/>
    <w:rsid w:val="59276497"/>
    <w:rsid w:val="592D37E6"/>
    <w:rsid w:val="5932754F"/>
    <w:rsid w:val="59401C6C"/>
    <w:rsid w:val="5952374E"/>
    <w:rsid w:val="5987789B"/>
    <w:rsid w:val="59AF294E"/>
    <w:rsid w:val="59BD150F"/>
    <w:rsid w:val="59CE5B85"/>
    <w:rsid w:val="5A24333C"/>
    <w:rsid w:val="5A272E2C"/>
    <w:rsid w:val="5A33532D"/>
    <w:rsid w:val="5A394AB7"/>
    <w:rsid w:val="5A5F0F16"/>
    <w:rsid w:val="5AA61FA3"/>
    <w:rsid w:val="5AA75A48"/>
    <w:rsid w:val="5AA955EF"/>
    <w:rsid w:val="5ACB53B5"/>
    <w:rsid w:val="5AD84127"/>
    <w:rsid w:val="5ADD34EB"/>
    <w:rsid w:val="5ADF7AD1"/>
    <w:rsid w:val="5AEB3E5A"/>
    <w:rsid w:val="5AF54CD9"/>
    <w:rsid w:val="5B131806"/>
    <w:rsid w:val="5B164CCF"/>
    <w:rsid w:val="5B871DD5"/>
    <w:rsid w:val="5B8F2A37"/>
    <w:rsid w:val="5BAA11F2"/>
    <w:rsid w:val="5BAA161F"/>
    <w:rsid w:val="5BB07D7A"/>
    <w:rsid w:val="5BB22BCA"/>
    <w:rsid w:val="5BB91A32"/>
    <w:rsid w:val="5BBD57F6"/>
    <w:rsid w:val="5BD41E0C"/>
    <w:rsid w:val="5BEF797A"/>
    <w:rsid w:val="5BF77DAF"/>
    <w:rsid w:val="5C1E3DBB"/>
    <w:rsid w:val="5C2B0955"/>
    <w:rsid w:val="5C3B2BBF"/>
    <w:rsid w:val="5C4B1054"/>
    <w:rsid w:val="5C563555"/>
    <w:rsid w:val="5C707BAB"/>
    <w:rsid w:val="5C7B745F"/>
    <w:rsid w:val="5C844566"/>
    <w:rsid w:val="5CE21C10"/>
    <w:rsid w:val="5CF86591"/>
    <w:rsid w:val="5D1A6C78"/>
    <w:rsid w:val="5D210D4E"/>
    <w:rsid w:val="5D215911"/>
    <w:rsid w:val="5D245401"/>
    <w:rsid w:val="5D35760E"/>
    <w:rsid w:val="5D4810F0"/>
    <w:rsid w:val="5D6D349E"/>
    <w:rsid w:val="5D774ADD"/>
    <w:rsid w:val="5D7B5A48"/>
    <w:rsid w:val="5D9413FD"/>
    <w:rsid w:val="5DB6074F"/>
    <w:rsid w:val="5DB91FED"/>
    <w:rsid w:val="5DC015CE"/>
    <w:rsid w:val="5DD92690"/>
    <w:rsid w:val="5DED613B"/>
    <w:rsid w:val="5E261AA4"/>
    <w:rsid w:val="5E280F21"/>
    <w:rsid w:val="5E337FF2"/>
    <w:rsid w:val="5E3A7034"/>
    <w:rsid w:val="5E421FE3"/>
    <w:rsid w:val="5E5D506F"/>
    <w:rsid w:val="5E604292"/>
    <w:rsid w:val="5EA42C9D"/>
    <w:rsid w:val="5EAB6706"/>
    <w:rsid w:val="5EC944B2"/>
    <w:rsid w:val="5F021772"/>
    <w:rsid w:val="5F0279C4"/>
    <w:rsid w:val="5F053AB2"/>
    <w:rsid w:val="5F076D88"/>
    <w:rsid w:val="5F1C0A86"/>
    <w:rsid w:val="5F49114F"/>
    <w:rsid w:val="5F781A34"/>
    <w:rsid w:val="5F7D704B"/>
    <w:rsid w:val="5F7F2DC3"/>
    <w:rsid w:val="5F9436B0"/>
    <w:rsid w:val="5FB92779"/>
    <w:rsid w:val="5FBA3DFB"/>
    <w:rsid w:val="5FBC5DC5"/>
    <w:rsid w:val="5FBD5FDD"/>
    <w:rsid w:val="5FCC4959"/>
    <w:rsid w:val="5FF51F6F"/>
    <w:rsid w:val="5FFB6BE5"/>
    <w:rsid w:val="600F2399"/>
    <w:rsid w:val="601C4AB5"/>
    <w:rsid w:val="601E281F"/>
    <w:rsid w:val="60200969"/>
    <w:rsid w:val="60237BF2"/>
    <w:rsid w:val="604162CA"/>
    <w:rsid w:val="60594FB8"/>
    <w:rsid w:val="605D3104"/>
    <w:rsid w:val="60787B87"/>
    <w:rsid w:val="608508AD"/>
    <w:rsid w:val="60B13450"/>
    <w:rsid w:val="60BE791B"/>
    <w:rsid w:val="60CA09D8"/>
    <w:rsid w:val="60D40EEC"/>
    <w:rsid w:val="60E43035"/>
    <w:rsid w:val="60FC22D8"/>
    <w:rsid w:val="61047A23"/>
    <w:rsid w:val="61096DE8"/>
    <w:rsid w:val="61113EEE"/>
    <w:rsid w:val="61181721"/>
    <w:rsid w:val="611A115C"/>
    <w:rsid w:val="611E37D0"/>
    <w:rsid w:val="61363955"/>
    <w:rsid w:val="618F442A"/>
    <w:rsid w:val="619863BE"/>
    <w:rsid w:val="61A44FF6"/>
    <w:rsid w:val="61A92379"/>
    <w:rsid w:val="61AB7E9F"/>
    <w:rsid w:val="61CE1DDF"/>
    <w:rsid w:val="61EF4230"/>
    <w:rsid w:val="61F142E6"/>
    <w:rsid w:val="6200643D"/>
    <w:rsid w:val="62061579"/>
    <w:rsid w:val="620A4073"/>
    <w:rsid w:val="622B7232"/>
    <w:rsid w:val="623F54E6"/>
    <w:rsid w:val="626545E7"/>
    <w:rsid w:val="62662018"/>
    <w:rsid w:val="62726C0F"/>
    <w:rsid w:val="62780994"/>
    <w:rsid w:val="62832BCA"/>
    <w:rsid w:val="62850378"/>
    <w:rsid w:val="629C6C63"/>
    <w:rsid w:val="629E5C56"/>
    <w:rsid w:val="62A80882"/>
    <w:rsid w:val="62E93375"/>
    <w:rsid w:val="62EF200D"/>
    <w:rsid w:val="62F535A5"/>
    <w:rsid w:val="62F75BF2"/>
    <w:rsid w:val="62FA10DE"/>
    <w:rsid w:val="630931C7"/>
    <w:rsid w:val="63104E4E"/>
    <w:rsid w:val="63220635"/>
    <w:rsid w:val="633A597E"/>
    <w:rsid w:val="63473BF7"/>
    <w:rsid w:val="63514A76"/>
    <w:rsid w:val="63554566"/>
    <w:rsid w:val="635A7DCF"/>
    <w:rsid w:val="638363E4"/>
    <w:rsid w:val="63AB23D8"/>
    <w:rsid w:val="63B23767"/>
    <w:rsid w:val="63CA720B"/>
    <w:rsid w:val="63F26259"/>
    <w:rsid w:val="63FA510E"/>
    <w:rsid w:val="64104931"/>
    <w:rsid w:val="641F6922"/>
    <w:rsid w:val="64276DCF"/>
    <w:rsid w:val="643248A8"/>
    <w:rsid w:val="64326165"/>
    <w:rsid w:val="64336725"/>
    <w:rsid w:val="64460353"/>
    <w:rsid w:val="646F486F"/>
    <w:rsid w:val="64767F7F"/>
    <w:rsid w:val="64857161"/>
    <w:rsid w:val="648D7D30"/>
    <w:rsid w:val="64C37BF6"/>
    <w:rsid w:val="64C71494"/>
    <w:rsid w:val="64F32289"/>
    <w:rsid w:val="64FB2EEB"/>
    <w:rsid w:val="653603C7"/>
    <w:rsid w:val="65393A14"/>
    <w:rsid w:val="656B48D2"/>
    <w:rsid w:val="6593581A"/>
    <w:rsid w:val="65B31A18"/>
    <w:rsid w:val="65F74891"/>
    <w:rsid w:val="660A1C04"/>
    <w:rsid w:val="66207B19"/>
    <w:rsid w:val="662B15AE"/>
    <w:rsid w:val="6639016F"/>
    <w:rsid w:val="66415276"/>
    <w:rsid w:val="66682803"/>
    <w:rsid w:val="666B22F3"/>
    <w:rsid w:val="66707909"/>
    <w:rsid w:val="6683763C"/>
    <w:rsid w:val="66855163"/>
    <w:rsid w:val="66976C44"/>
    <w:rsid w:val="669A78B7"/>
    <w:rsid w:val="66A114F4"/>
    <w:rsid w:val="66A86C9C"/>
    <w:rsid w:val="66D952FB"/>
    <w:rsid w:val="66E16111"/>
    <w:rsid w:val="66E55C01"/>
    <w:rsid w:val="670544F5"/>
    <w:rsid w:val="67191D4F"/>
    <w:rsid w:val="672A5E76"/>
    <w:rsid w:val="6732696D"/>
    <w:rsid w:val="675E59B4"/>
    <w:rsid w:val="67627252"/>
    <w:rsid w:val="678418BE"/>
    <w:rsid w:val="679A4C3E"/>
    <w:rsid w:val="679B435F"/>
    <w:rsid w:val="67B53825"/>
    <w:rsid w:val="67C83E1E"/>
    <w:rsid w:val="67E25D6B"/>
    <w:rsid w:val="67E81E4D"/>
    <w:rsid w:val="67EB36EB"/>
    <w:rsid w:val="67F772A2"/>
    <w:rsid w:val="68000819"/>
    <w:rsid w:val="68042EA3"/>
    <w:rsid w:val="681E586F"/>
    <w:rsid w:val="6847428C"/>
    <w:rsid w:val="6864524C"/>
    <w:rsid w:val="688645FD"/>
    <w:rsid w:val="68B95597"/>
    <w:rsid w:val="68B962C8"/>
    <w:rsid w:val="68C63810"/>
    <w:rsid w:val="68CA77A4"/>
    <w:rsid w:val="68EA39A3"/>
    <w:rsid w:val="68F44821"/>
    <w:rsid w:val="69084EC9"/>
    <w:rsid w:val="69342E70"/>
    <w:rsid w:val="69401815"/>
    <w:rsid w:val="69A0307E"/>
    <w:rsid w:val="69BF6BDD"/>
    <w:rsid w:val="69D81A4D"/>
    <w:rsid w:val="69E623BC"/>
    <w:rsid w:val="69E96244"/>
    <w:rsid w:val="69EF4BA2"/>
    <w:rsid w:val="69FD14B4"/>
    <w:rsid w:val="6A142A96"/>
    <w:rsid w:val="6A152CA1"/>
    <w:rsid w:val="6A274783"/>
    <w:rsid w:val="6A3F1672"/>
    <w:rsid w:val="6A400D43"/>
    <w:rsid w:val="6A43763F"/>
    <w:rsid w:val="6A4610AD"/>
    <w:rsid w:val="6A537326"/>
    <w:rsid w:val="6A570BC4"/>
    <w:rsid w:val="6A617392"/>
    <w:rsid w:val="6A674B7F"/>
    <w:rsid w:val="6A9C2A7B"/>
    <w:rsid w:val="6AB87933"/>
    <w:rsid w:val="6ACD532A"/>
    <w:rsid w:val="6ADC556D"/>
    <w:rsid w:val="6ADF3002"/>
    <w:rsid w:val="6AED1528"/>
    <w:rsid w:val="6AFD8962"/>
    <w:rsid w:val="6B2944AE"/>
    <w:rsid w:val="6B3453A9"/>
    <w:rsid w:val="6B680BAF"/>
    <w:rsid w:val="6B737C7F"/>
    <w:rsid w:val="6B822BB4"/>
    <w:rsid w:val="6B841E8D"/>
    <w:rsid w:val="6BA442DD"/>
    <w:rsid w:val="6BAC13E3"/>
    <w:rsid w:val="6BCC7390"/>
    <w:rsid w:val="6BD85D34"/>
    <w:rsid w:val="6BDF5315"/>
    <w:rsid w:val="6BF32B6E"/>
    <w:rsid w:val="6C3A254B"/>
    <w:rsid w:val="6C517895"/>
    <w:rsid w:val="6C627CF4"/>
    <w:rsid w:val="6CA81BAB"/>
    <w:rsid w:val="6CE10C19"/>
    <w:rsid w:val="6CE95D1F"/>
    <w:rsid w:val="6D156B14"/>
    <w:rsid w:val="6D401DE3"/>
    <w:rsid w:val="6D480ACA"/>
    <w:rsid w:val="6D6C6D00"/>
    <w:rsid w:val="6D7B2E1B"/>
    <w:rsid w:val="6D8A5754"/>
    <w:rsid w:val="6D8F68C7"/>
    <w:rsid w:val="6DA560EA"/>
    <w:rsid w:val="6DAB36CB"/>
    <w:rsid w:val="6DBC4466"/>
    <w:rsid w:val="6DC86C7E"/>
    <w:rsid w:val="6DCF43F1"/>
    <w:rsid w:val="6DD15131"/>
    <w:rsid w:val="6DEF7365"/>
    <w:rsid w:val="6DFA0E3D"/>
    <w:rsid w:val="6DFD1A82"/>
    <w:rsid w:val="6E2A65EF"/>
    <w:rsid w:val="6E3336F6"/>
    <w:rsid w:val="6E405E13"/>
    <w:rsid w:val="6E526272"/>
    <w:rsid w:val="6E573888"/>
    <w:rsid w:val="6E7C32EF"/>
    <w:rsid w:val="6E924314"/>
    <w:rsid w:val="6EBC193D"/>
    <w:rsid w:val="6EBE0FAE"/>
    <w:rsid w:val="6ED547AD"/>
    <w:rsid w:val="6EE36ECA"/>
    <w:rsid w:val="6F1300E8"/>
    <w:rsid w:val="6F215C44"/>
    <w:rsid w:val="6F282B2F"/>
    <w:rsid w:val="6F2B6AC3"/>
    <w:rsid w:val="6F491EC8"/>
    <w:rsid w:val="6F4D07E7"/>
    <w:rsid w:val="6F51652A"/>
    <w:rsid w:val="6F6C3363"/>
    <w:rsid w:val="6F742218"/>
    <w:rsid w:val="6F7E7B76"/>
    <w:rsid w:val="6F885CC3"/>
    <w:rsid w:val="6F9862FF"/>
    <w:rsid w:val="6F991BD7"/>
    <w:rsid w:val="6FA674C7"/>
    <w:rsid w:val="6FA80114"/>
    <w:rsid w:val="6FAF336F"/>
    <w:rsid w:val="6FCF1C1E"/>
    <w:rsid w:val="6FD716D1"/>
    <w:rsid w:val="6FE729EA"/>
    <w:rsid w:val="700215D2"/>
    <w:rsid w:val="7004359C"/>
    <w:rsid w:val="703025E3"/>
    <w:rsid w:val="705D2CAC"/>
    <w:rsid w:val="70812E3F"/>
    <w:rsid w:val="70853CDC"/>
    <w:rsid w:val="709A7A5C"/>
    <w:rsid w:val="70A754C9"/>
    <w:rsid w:val="70AE175A"/>
    <w:rsid w:val="70BC3E77"/>
    <w:rsid w:val="70CA4041"/>
    <w:rsid w:val="70D25448"/>
    <w:rsid w:val="70D41BD1"/>
    <w:rsid w:val="70DB5DA0"/>
    <w:rsid w:val="70F03B20"/>
    <w:rsid w:val="71092E34"/>
    <w:rsid w:val="71145EF1"/>
    <w:rsid w:val="711517D9"/>
    <w:rsid w:val="71197447"/>
    <w:rsid w:val="7137174F"/>
    <w:rsid w:val="71431EA2"/>
    <w:rsid w:val="71493231"/>
    <w:rsid w:val="715A085E"/>
    <w:rsid w:val="71600CA6"/>
    <w:rsid w:val="717E037B"/>
    <w:rsid w:val="71810C1C"/>
    <w:rsid w:val="71902C0D"/>
    <w:rsid w:val="719A3A8C"/>
    <w:rsid w:val="71A010A2"/>
    <w:rsid w:val="71A212BE"/>
    <w:rsid w:val="71A55A61"/>
    <w:rsid w:val="71C823A7"/>
    <w:rsid w:val="71CD20B4"/>
    <w:rsid w:val="71D1496D"/>
    <w:rsid w:val="72135D18"/>
    <w:rsid w:val="72563E57"/>
    <w:rsid w:val="7273192F"/>
    <w:rsid w:val="72854A5A"/>
    <w:rsid w:val="72863F8A"/>
    <w:rsid w:val="728A58AF"/>
    <w:rsid w:val="72B8241C"/>
    <w:rsid w:val="72BA6194"/>
    <w:rsid w:val="72C214EC"/>
    <w:rsid w:val="72E111B8"/>
    <w:rsid w:val="7306587D"/>
    <w:rsid w:val="730E4732"/>
    <w:rsid w:val="73147FA1"/>
    <w:rsid w:val="731D6723"/>
    <w:rsid w:val="732B0E40"/>
    <w:rsid w:val="73515FE8"/>
    <w:rsid w:val="73593BFF"/>
    <w:rsid w:val="737427E7"/>
    <w:rsid w:val="73830C7C"/>
    <w:rsid w:val="73A17354"/>
    <w:rsid w:val="73B01345"/>
    <w:rsid w:val="73BD744E"/>
    <w:rsid w:val="73DB15E2"/>
    <w:rsid w:val="73EB6821"/>
    <w:rsid w:val="74096F68"/>
    <w:rsid w:val="741C2B52"/>
    <w:rsid w:val="741D2E7E"/>
    <w:rsid w:val="743C0E2B"/>
    <w:rsid w:val="74575C64"/>
    <w:rsid w:val="74597C2E"/>
    <w:rsid w:val="7460720F"/>
    <w:rsid w:val="74732A9E"/>
    <w:rsid w:val="74771E3A"/>
    <w:rsid w:val="749424C9"/>
    <w:rsid w:val="749F7426"/>
    <w:rsid w:val="74B56984"/>
    <w:rsid w:val="74BA06CD"/>
    <w:rsid w:val="74D07EF1"/>
    <w:rsid w:val="74FD2BE4"/>
    <w:rsid w:val="754B57C9"/>
    <w:rsid w:val="75510906"/>
    <w:rsid w:val="75592D37"/>
    <w:rsid w:val="7579046F"/>
    <w:rsid w:val="758B02BC"/>
    <w:rsid w:val="758C26B9"/>
    <w:rsid w:val="75A90DBF"/>
    <w:rsid w:val="75AE7B06"/>
    <w:rsid w:val="75C5557C"/>
    <w:rsid w:val="75F0011F"/>
    <w:rsid w:val="76065B94"/>
    <w:rsid w:val="760C31AA"/>
    <w:rsid w:val="76174B66"/>
    <w:rsid w:val="76281FEB"/>
    <w:rsid w:val="762A4421"/>
    <w:rsid w:val="762A7AD4"/>
    <w:rsid w:val="762E548C"/>
    <w:rsid w:val="765C7562"/>
    <w:rsid w:val="765E4806"/>
    <w:rsid w:val="76724FD8"/>
    <w:rsid w:val="76883ADF"/>
    <w:rsid w:val="76C05D43"/>
    <w:rsid w:val="76DA5057"/>
    <w:rsid w:val="76F5258C"/>
    <w:rsid w:val="772207AC"/>
    <w:rsid w:val="772938E8"/>
    <w:rsid w:val="772E0EFE"/>
    <w:rsid w:val="774461EC"/>
    <w:rsid w:val="775A6439"/>
    <w:rsid w:val="77673983"/>
    <w:rsid w:val="776F3B30"/>
    <w:rsid w:val="777059BB"/>
    <w:rsid w:val="7789082B"/>
    <w:rsid w:val="77A45665"/>
    <w:rsid w:val="77C16217"/>
    <w:rsid w:val="77E34563"/>
    <w:rsid w:val="77EF4B32"/>
    <w:rsid w:val="77F11A4A"/>
    <w:rsid w:val="77F2017E"/>
    <w:rsid w:val="77FC2DAB"/>
    <w:rsid w:val="78026742"/>
    <w:rsid w:val="78116641"/>
    <w:rsid w:val="78202F3D"/>
    <w:rsid w:val="782642CC"/>
    <w:rsid w:val="783E33C3"/>
    <w:rsid w:val="78613635"/>
    <w:rsid w:val="78622A72"/>
    <w:rsid w:val="78623556"/>
    <w:rsid w:val="78671B9F"/>
    <w:rsid w:val="788C05D2"/>
    <w:rsid w:val="788F3C1F"/>
    <w:rsid w:val="78B6564F"/>
    <w:rsid w:val="78B90C9C"/>
    <w:rsid w:val="78D96B33"/>
    <w:rsid w:val="792E3438"/>
    <w:rsid w:val="79312F28"/>
    <w:rsid w:val="794669D3"/>
    <w:rsid w:val="796912D5"/>
    <w:rsid w:val="79752E15"/>
    <w:rsid w:val="79960FDD"/>
    <w:rsid w:val="79A81CC2"/>
    <w:rsid w:val="79CA6C00"/>
    <w:rsid w:val="79D35D8D"/>
    <w:rsid w:val="79DC10E6"/>
    <w:rsid w:val="79DC50C3"/>
    <w:rsid w:val="79E13D7A"/>
    <w:rsid w:val="79E63D12"/>
    <w:rsid w:val="79EA1A55"/>
    <w:rsid w:val="79EE6581"/>
    <w:rsid w:val="7A066163"/>
    <w:rsid w:val="7A41363F"/>
    <w:rsid w:val="7A505630"/>
    <w:rsid w:val="7A574C10"/>
    <w:rsid w:val="7A6115EB"/>
    <w:rsid w:val="7A861051"/>
    <w:rsid w:val="7A8C6910"/>
    <w:rsid w:val="7A910122"/>
    <w:rsid w:val="7A9814B1"/>
    <w:rsid w:val="7AA02113"/>
    <w:rsid w:val="7AAD65DE"/>
    <w:rsid w:val="7ADE0E8D"/>
    <w:rsid w:val="7AFD57B8"/>
    <w:rsid w:val="7B05641A"/>
    <w:rsid w:val="7B061A6F"/>
    <w:rsid w:val="7B2745E3"/>
    <w:rsid w:val="7B296BC9"/>
    <w:rsid w:val="7B38234C"/>
    <w:rsid w:val="7B590514"/>
    <w:rsid w:val="7B5A6766"/>
    <w:rsid w:val="7B821819"/>
    <w:rsid w:val="7B875081"/>
    <w:rsid w:val="7B9130BB"/>
    <w:rsid w:val="7B9B0B2D"/>
    <w:rsid w:val="7BB651D6"/>
    <w:rsid w:val="7BD52290"/>
    <w:rsid w:val="7BD576B2"/>
    <w:rsid w:val="7BD858DD"/>
    <w:rsid w:val="7BDC43FC"/>
    <w:rsid w:val="7BDF0A19"/>
    <w:rsid w:val="7C1D7794"/>
    <w:rsid w:val="7C38637B"/>
    <w:rsid w:val="7C572CA5"/>
    <w:rsid w:val="7C5F7DAC"/>
    <w:rsid w:val="7C703D67"/>
    <w:rsid w:val="7C8C53E6"/>
    <w:rsid w:val="7CA26617"/>
    <w:rsid w:val="7CA81753"/>
    <w:rsid w:val="7CCB502D"/>
    <w:rsid w:val="7CF404F4"/>
    <w:rsid w:val="7D1B0177"/>
    <w:rsid w:val="7D380D29"/>
    <w:rsid w:val="7D3905FD"/>
    <w:rsid w:val="7D655C50"/>
    <w:rsid w:val="7D755AD9"/>
    <w:rsid w:val="7D787377"/>
    <w:rsid w:val="7D957F29"/>
    <w:rsid w:val="7DC26844"/>
    <w:rsid w:val="7DDB3462"/>
    <w:rsid w:val="7DEE3196"/>
    <w:rsid w:val="7DF34C50"/>
    <w:rsid w:val="7DF6029C"/>
    <w:rsid w:val="7DFB58B2"/>
    <w:rsid w:val="7E160C88"/>
    <w:rsid w:val="7E265B09"/>
    <w:rsid w:val="7E3C3C99"/>
    <w:rsid w:val="7E617E0B"/>
    <w:rsid w:val="7E6D055E"/>
    <w:rsid w:val="7E725B75"/>
    <w:rsid w:val="7E7933A7"/>
    <w:rsid w:val="7E856A77"/>
    <w:rsid w:val="7E8F4979"/>
    <w:rsid w:val="7EBA751C"/>
    <w:rsid w:val="7EBB39C0"/>
    <w:rsid w:val="7EC02D84"/>
    <w:rsid w:val="7ECE52DF"/>
    <w:rsid w:val="7ED700CE"/>
    <w:rsid w:val="7EE30820"/>
    <w:rsid w:val="7EEF3669"/>
    <w:rsid w:val="7EF667A6"/>
    <w:rsid w:val="7F1B558F"/>
    <w:rsid w:val="7F2A28F3"/>
    <w:rsid w:val="7F402117"/>
    <w:rsid w:val="7F480FCB"/>
    <w:rsid w:val="7F4A6AF1"/>
    <w:rsid w:val="7F4C286A"/>
    <w:rsid w:val="7F5C78AC"/>
    <w:rsid w:val="7F8518D8"/>
    <w:rsid w:val="7F954211"/>
    <w:rsid w:val="7FDA4CCA"/>
    <w:rsid w:val="7FDF36DE"/>
    <w:rsid w:val="7FE72592"/>
    <w:rsid w:val="7FF52F01"/>
    <w:rsid w:val="EDFF3A84"/>
    <w:rsid w:val="FD795A6D"/>
    <w:rsid w:val="FDBB945E"/>
    <w:rsid w:val="FFD718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0"/>
    <w:qFormat/>
    <w:uiPriority w:val="0"/>
    <w:pPr>
      <w:keepNext/>
      <w:keepLines/>
      <w:spacing w:before="260" w:after="260" w:line="416" w:lineRule="auto"/>
      <w:outlineLvl w:val="2"/>
    </w:pPr>
    <w:rPr>
      <w:b/>
      <w:bCs/>
      <w:sz w:val="32"/>
      <w:szCs w:val="32"/>
    </w:rPr>
  </w:style>
  <w:style w:type="paragraph" w:styleId="5">
    <w:name w:val="heading 4"/>
    <w:basedOn w:val="1"/>
    <w:next w:val="1"/>
    <w:link w:val="25"/>
    <w:qFormat/>
    <w:uiPriority w:val="0"/>
    <w:pPr>
      <w:keepNext/>
      <w:keepLines/>
      <w:spacing w:before="280" w:after="290" w:line="376" w:lineRule="auto"/>
      <w:outlineLvl w:val="3"/>
    </w:pPr>
    <w:rPr>
      <w:rFonts w:ascii="Cambria" w:hAnsi="Cambria"/>
      <w:b/>
      <w:bCs/>
      <w:sz w:val="28"/>
      <w:szCs w:val="28"/>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qFormat/>
    <w:uiPriority w:val="0"/>
    <w:pPr>
      <w:ind w:left="1260"/>
      <w:jc w:val="left"/>
    </w:pPr>
    <w:rPr>
      <w:sz w:val="20"/>
      <w:szCs w:val="20"/>
    </w:rPr>
  </w:style>
  <w:style w:type="paragraph" w:styleId="7">
    <w:name w:val="Document Map"/>
    <w:basedOn w:val="1"/>
    <w:qFormat/>
    <w:uiPriority w:val="0"/>
    <w:pPr>
      <w:shd w:val="clear" w:color="auto" w:fill="000080"/>
    </w:pPr>
  </w:style>
  <w:style w:type="paragraph" w:styleId="8">
    <w:name w:val="Body Text Indent"/>
    <w:basedOn w:val="1"/>
    <w:qFormat/>
    <w:uiPriority w:val="0"/>
    <w:pPr>
      <w:widowControl/>
      <w:spacing w:after="120"/>
      <w:ind w:left="420" w:leftChars="200"/>
      <w:jc w:val="left"/>
    </w:pPr>
    <w:rPr>
      <w:rFonts w:hint="eastAsia" w:ascii="宋体" w:hAnsi="宋体"/>
      <w:kern w:val="0"/>
      <w:sz w:val="24"/>
    </w:rPr>
  </w:style>
  <w:style w:type="paragraph" w:styleId="9">
    <w:name w:val="toc 5"/>
    <w:basedOn w:val="1"/>
    <w:next w:val="1"/>
    <w:qFormat/>
    <w:uiPriority w:val="0"/>
    <w:pPr>
      <w:ind w:left="840"/>
      <w:jc w:val="left"/>
    </w:pPr>
    <w:rPr>
      <w:sz w:val="20"/>
      <w:szCs w:val="20"/>
    </w:rPr>
  </w:style>
  <w:style w:type="paragraph" w:styleId="10">
    <w:name w:val="toc 3"/>
    <w:basedOn w:val="1"/>
    <w:next w:val="1"/>
    <w:qFormat/>
    <w:uiPriority w:val="0"/>
    <w:pPr>
      <w:adjustRightInd w:val="0"/>
      <w:snapToGrid w:val="0"/>
      <w:spacing w:line="360" w:lineRule="auto"/>
      <w:ind w:firstLine="400" w:firstLineChars="400"/>
      <w:jc w:val="left"/>
    </w:pPr>
    <w:rPr>
      <w:sz w:val="24"/>
      <w:szCs w:val="20"/>
    </w:rPr>
  </w:style>
  <w:style w:type="paragraph" w:styleId="11">
    <w:name w:val="toc 8"/>
    <w:basedOn w:val="1"/>
    <w:next w:val="1"/>
    <w:qFormat/>
    <w:uiPriority w:val="0"/>
    <w:pPr>
      <w:ind w:left="1470"/>
      <w:jc w:val="left"/>
    </w:pPr>
    <w:rPr>
      <w:sz w:val="20"/>
      <w:szCs w:val="20"/>
    </w:rPr>
  </w:style>
  <w:style w:type="paragraph" w:styleId="12">
    <w:name w:val="footer"/>
    <w:basedOn w:val="1"/>
    <w:link w:val="28"/>
    <w:qFormat/>
    <w:uiPriority w:val="0"/>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0"/>
    <w:pPr>
      <w:adjustRightInd w:val="0"/>
      <w:snapToGrid w:val="0"/>
      <w:spacing w:line="360" w:lineRule="auto"/>
      <w:jc w:val="left"/>
    </w:pPr>
    <w:rPr>
      <w:b/>
      <w:bCs/>
      <w:sz w:val="24"/>
      <w:szCs w:val="20"/>
    </w:rPr>
  </w:style>
  <w:style w:type="paragraph" w:styleId="15">
    <w:name w:val="toc 4"/>
    <w:basedOn w:val="1"/>
    <w:next w:val="1"/>
    <w:qFormat/>
    <w:uiPriority w:val="0"/>
    <w:pPr>
      <w:ind w:left="630"/>
      <w:jc w:val="left"/>
    </w:pPr>
    <w:rPr>
      <w:sz w:val="20"/>
      <w:szCs w:val="20"/>
    </w:rPr>
  </w:style>
  <w:style w:type="paragraph" w:styleId="16">
    <w:name w:val="toc 6"/>
    <w:basedOn w:val="1"/>
    <w:next w:val="1"/>
    <w:qFormat/>
    <w:uiPriority w:val="0"/>
    <w:pPr>
      <w:ind w:left="1050"/>
      <w:jc w:val="left"/>
    </w:pPr>
    <w:rPr>
      <w:sz w:val="20"/>
      <w:szCs w:val="20"/>
    </w:rPr>
  </w:style>
  <w:style w:type="paragraph" w:styleId="17">
    <w:name w:val="toc 2"/>
    <w:basedOn w:val="1"/>
    <w:next w:val="1"/>
    <w:qFormat/>
    <w:uiPriority w:val="0"/>
    <w:pPr>
      <w:adjustRightInd w:val="0"/>
      <w:snapToGrid w:val="0"/>
      <w:spacing w:line="360" w:lineRule="auto"/>
      <w:ind w:firstLine="200" w:firstLineChars="200"/>
      <w:jc w:val="left"/>
    </w:pPr>
    <w:rPr>
      <w:iCs/>
      <w:sz w:val="24"/>
      <w:szCs w:val="20"/>
    </w:rPr>
  </w:style>
  <w:style w:type="paragraph" w:styleId="18">
    <w:name w:val="toc 9"/>
    <w:basedOn w:val="1"/>
    <w:next w:val="1"/>
    <w:qFormat/>
    <w:uiPriority w:val="0"/>
    <w:pPr>
      <w:ind w:left="1680"/>
      <w:jc w:val="left"/>
    </w:pPr>
    <w:rPr>
      <w:sz w:val="20"/>
      <w:szCs w:val="20"/>
    </w:rPr>
  </w:style>
  <w:style w:type="paragraph" w:styleId="19">
    <w:name w:val="Normal (Web)"/>
    <w:basedOn w:val="1"/>
    <w:semiHidden/>
    <w:unhideWhenUsed/>
    <w:qFormat/>
    <w:uiPriority w:val="0"/>
    <w:pPr>
      <w:spacing w:beforeAutospacing="1" w:afterAutospacing="1"/>
      <w:jc w:val="left"/>
    </w:pPr>
    <w:rPr>
      <w:kern w:val="0"/>
      <w:sz w:val="24"/>
    </w:rPr>
  </w:style>
  <w:style w:type="paragraph" w:styleId="20">
    <w:name w:val="Body Text First Indent 2"/>
    <w:basedOn w:val="8"/>
    <w:qFormat/>
    <w:uiPriority w:val="0"/>
    <w:pPr>
      <w:ind w:firstLine="420"/>
    </w:pPr>
  </w:style>
  <w:style w:type="character" w:styleId="23">
    <w:name w:val="page number"/>
    <w:basedOn w:val="22"/>
    <w:qFormat/>
    <w:uiPriority w:val="0"/>
  </w:style>
  <w:style w:type="character" w:styleId="24">
    <w:name w:val="Hyperlink"/>
    <w:basedOn w:val="22"/>
    <w:qFormat/>
    <w:uiPriority w:val="0"/>
    <w:rPr>
      <w:color w:val="0000FF"/>
      <w:u w:val="single"/>
    </w:rPr>
  </w:style>
  <w:style w:type="character" w:customStyle="1" w:styleId="25">
    <w:name w:val="标题 4 字符"/>
    <w:basedOn w:val="22"/>
    <w:link w:val="5"/>
    <w:qFormat/>
    <w:uiPriority w:val="0"/>
    <w:rPr>
      <w:rFonts w:ascii="Cambria" w:hAnsi="Cambria"/>
      <w:b/>
      <w:bCs/>
      <w:kern w:val="2"/>
      <w:sz w:val="28"/>
      <w:szCs w:val="28"/>
    </w:rPr>
  </w:style>
  <w:style w:type="paragraph" w:styleId="26">
    <w:name w:val="No Spacing"/>
    <w:link w:val="27"/>
    <w:qFormat/>
    <w:uiPriority w:val="0"/>
    <w:pPr>
      <w:ind w:firstLine="200" w:firstLineChars="200"/>
    </w:pPr>
    <w:rPr>
      <w:rFonts w:ascii="Times New Roman" w:hAnsi="Times New Roman" w:eastAsia="仿宋_GB2312" w:cs="Times New Roman"/>
      <w:sz w:val="30"/>
      <w:szCs w:val="22"/>
      <w:lang w:val="en-US" w:eastAsia="zh-CN" w:bidi="ar-SA"/>
    </w:rPr>
  </w:style>
  <w:style w:type="character" w:customStyle="1" w:styleId="27">
    <w:name w:val="无间隔 字符"/>
    <w:link w:val="26"/>
    <w:qFormat/>
    <w:locked/>
    <w:uiPriority w:val="0"/>
    <w:rPr>
      <w:rFonts w:eastAsia="仿宋_GB2312"/>
      <w:sz w:val="30"/>
      <w:szCs w:val="22"/>
      <w:lang w:bidi="ar-SA"/>
    </w:rPr>
  </w:style>
  <w:style w:type="character" w:customStyle="1" w:styleId="28">
    <w:name w:val="页脚 字符"/>
    <w:basedOn w:val="22"/>
    <w:link w:val="12"/>
    <w:qFormat/>
    <w:uiPriority w:val="0"/>
    <w:rPr>
      <w:kern w:val="2"/>
      <w:sz w:val="18"/>
      <w:szCs w:val="18"/>
    </w:rPr>
  </w:style>
  <w:style w:type="paragraph" w:styleId="29">
    <w:name w:val="List Paragraph"/>
    <w:basedOn w:val="1"/>
    <w:qFormat/>
    <w:uiPriority w:val="0"/>
    <w:pPr>
      <w:ind w:firstLine="420" w:firstLineChars="200"/>
    </w:pPr>
  </w:style>
  <w:style w:type="character" w:customStyle="1" w:styleId="30">
    <w:name w:val="标题 3 字符"/>
    <w:basedOn w:val="22"/>
    <w:link w:val="4"/>
    <w:qFormat/>
    <w:uiPriority w:val="0"/>
    <w:rPr>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chart" Target="charts/chart2.xml"/><Relationship Id="rId5" Type="http://schemas.openxmlformats.org/officeDocument/2006/relationships/chart" Target="charts/chart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销售额</c:v>
                </c:pt>
              </c:strCache>
            </c:strRef>
          </c:tx>
          <c:spPr/>
          <c:explosion val="0"/>
          <c:dPt>
            <c:idx val="0"/>
            <c:bubble3D val="0"/>
            <c:spPr>
              <a:solidFill>
                <a:schemeClr val="accent1"/>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c:f>
              <c:strCache>
                <c:ptCount val="1"/>
                <c:pt idx="0">
                  <c:v>一般公共预算财政拨款收入</c:v>
                </c:pt>
              </c:strCache>
            </c:strRef>
          </c:cat>
          <c:val>
            <c:numRef>
              <c:f>Sheet1!$B$2</c:f>
              <c:numCache>
                <c:formatCode>0%</c:formatCode>
                <c:ptCount val="1"/>
                <c:pt idx="0">
                  <c:v>1</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manualLayout>
          <c:xMode val="edge"/>
          <c:yMode val="edge"/>
          <c:x val="0.624399959146155"/>
          <c:y val="0.0590490797546012"/>
          <c:w val="0.335404986405425"/>
          <c:h val="0.20734514435695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ee3a5862-0418-484b-a2fa-547e963bc022}"/>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销售额</c:v>
                </c:pt>
              </c:strCache>
            </c:strRef>
          </c:tx>
          <c:explosion val="0"/>
          <c:dPt>
            <c:idx val="0"/>
            <c:bubble3D val="0"/>
            <c:spPr>
              <a:solidFill>
                <a:schemeClr val="accent1"/>
              </a:solidFill>
              <a:ln w="18994">
                <a:solidFill>
                  <a:schemeClr val="lt1"/>
                </a:solidFill>
              </a:ln>
              <a:effectLst/>
            </c:spPr>
          </c:dPt>
          <c:dPt>
            <c:idx val="1"/>
            <c:bubble3D val="0"/>
            <c:spPr>
              <a:solidFill>
                <a:schemeClr val="accent2"/>
              </a:solidFill>
              <a:ln w="18994">
                <a:solidFill>
                  <a:schemeClr val="lt1"/>
                </a:solidFill>
              </a:ln>
              <a:effectLst/>
            </c:spPr>
          </c:dPt>
          <c:dLbls>
            <c:spPr>
              <a:noFill/>
              <a:ln w="25319">
                <a:noFill/>
              </a:ln>
              <a:effectLst/>
            </c:spPr>
            <c:txPr>
              <a:bodyPr rot="0" spcFirstLastPara="1" vertOverflow="ellipsis" vert="horz" wrap="square" lIns="38100" tIns="19050" rIns="38100" bIns="19050" anchor="ctr" anchorCtr="1">
                <a:spAutoFit/>
              </a:bodyPr>
              <a:lstStyle/>
              <a:p>
                <a:pPr>
                  <a:defRPr lang="zh-CN" sz="895"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498" cap="flat" cmpd="sng" algn="ctr">
                      <a:solidFill>
                        <a:schemeClr val="tx1">
                          <a:lumMod val="35000"/>
                          <a:lumOff val="65000"/>
                        </a:schemeClr>
                      </a:solidFill>
                      <a:prstDash val="solid"/>
                      <a:round/>
                    </a:ln>
                    <a:effectLst/>
                  </c:spPr>
                </c15:leaderLines>
              </c:ext>
            </c:extLst>
          </c:dLbls>
          <c:cat>
            <c:strRef>
              <c:f>Sheet1!$A$2:$A$3</c:f>
              <c:strCache>
                <c:ptCount val="2"/>
                <c:pt idx="0">
                  <c:v>基本支出</c:v>
                </c:pt>
                <c:pt idx="1">
                  <c:v>项目支出</c:v>
                </c:pt>
              </c:strCache>
            </c:strRef>
          </c:cat>
          <c:val>
            <c:numRef>
              <c:f>Sheet1!$B$2:$B$3</c:f>
              <c:numCache>
                <c:formatCode>0.00%</c:formatCode>
                <c:ptCount val="2"/>
                <c:pt idx="0">
                  <c:v>0.9541</c:v>
                </c:pt>
                <c:pt idx="1">
                  <c:v>0.0459</c:v>
                </c:pt>
              </c:numCache>
            </c:numRef>
          </c:val>
        </c:ser>
        <c:dLbls>
          <c:showLegendKey val="0"/>
          <c:showVal val="0"/>
          <c:showCatName val="0"/>
          <c:showSerName val="0"/>
          <c:showPercent val="0"/>
          <c:showBubbleSize val="0"/>
          <c:showLeaderLines val="1"/>
        </c:dLbls>
        <c:firstSliceAng val="0"/>
      </c:pieChart>
      <c:spPr>
        <a:noFill/>
        <a:ln w="25402">
          <a:noFill/>
        </a:ln>
      </c:spPr>
    </c:plotArea>
    <c:legend>
      <c:legendPos val="b"/>
      <c:layout>
        <c:manualLayout>
          <c:xMode val="edge"/>
          <c:yMode val="edge"/>
          <c:x val="0.737341717177439"/>
          <c:y val="0.417397825271841"/>
          <c:w val="0.17714968182934"/>
          <c:h val="0.277448688479157"/>
        </c:manualLayout>
      </c:layout>
      <c:overlay val="0"/>
      <c:spPr>
        <a:noFill/>
        <a:ln w="25319">
          <a:noFill/>
        </a:ln>
      </c:spPr>
      <c:txPr>
        <a:bodyPr rot="0" spcFirstLastPara="1" vertOverflow="ellipsis" vert="horz" wrap="square" anchor="ctr" anchorCtr="1"/>
        <a:lstStyle/>
        <a:p>
          <a:pPr>
            <a:defRPr lang="zh-CN" sz="895"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d0e717a9-c84a-4b47-9030-8e80d12f83a3}"/>
      </c:ext>
    </c:extLst>
  </c:chart>
  <c:spPr>
    <a:solidFill>
      <a:schemeClr val="bg1"/>
    </a:solidFill>
    <a:ln w="9498"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acrossLinear" id="2">
  <a:schemeClr val="accent1"/>
  <a:schemeClr val="accent2"/>
  <a:schemeClr val="accent3"/>
  <a:schemeClr val="accent4"/>
  <a:schemeClr val="accent5"/>
  <a:schemeClr val="accent6"/>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21</Pages>
  <Words>7785</Words>
  <Characters>8748</Characters>
  <Lines>70</Lines>
  <Paragraphs>19</Paragraphs>
  <TotalTime>15</TotalTime>
  <ScaleCrop>false</ScaleCrop>
  <LinksUpToDate>false</LinksUpToDate>
  <CharactersWithSpaces>8762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2022-03-24T12:40:00Z</dcterms:created>
  <dc:creator>Administrator</dc:creator>
  <cp:lastModifiedBy>多久@</cp:lastModifiedBy>
  <cp:lastPrinted>2024-08-13T11:02:00Z</cp:lastPrinted>
  <dcterms:modified xsi:type="dcterms:W3CDTF">2026-08-19T07:45:01Z</dcterms:modified>
  <dc:title>××年度××部门/单位</dc:title>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A095B4E2F2ACC62C98CFBA6672B029EE</vt:lpwstr>
  </property>
  <property fmtid="{D5CDD505-2E9C-101B-9397-08002B2CF9AE}" pid="4" name="KSOTemplateDocerSaveRecord">
    <vt:lpwstr>eyJoZGlkIjoiYTAzODQ2YjcyMjgwODY2ZTljYjRhZjZjZGEzYzJjZTkiLCJ1c2VySWQiOiI2NjkxMDE0MDgifQ==</vt:lpwstr>
  </property>
</Properties>
</file>