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Times New Roman" w:hAnsi="Times New Roman" w:cs="Times New Roman"/>
          <w:sz w:val="24"/>
        </w:rPr>
      </w:pPr>
    </w:p>
    <w:p>
      <w:pPr>
        <w:pStyle w:val="21"/>
        <w:rPr>
          <w:rFonts w:hint="default" w:ascii="Times New Roman" w:hAnsi="Times New Roman" w:cs="Times New Roman"/>
          <w:sz w:val="24"/>
        </w:rPr>
      </w:pPr>
    </w:p>
    <w:p>
      <w:pPr>
        <w:pStyle w:val="21"/>
        <w:rPr>
          <w:rFonts w:hint="default" w:ascii="Times New Roman" w:hAnsi="Times New Roman" w:cs="Times New Roman"/>
          <w:sz w:val="24"/>
        </w:rPr>
      </w:pPr>
    </w:p>
    <w:p>
      <w:pPr>
        <w:pStyle w:val="21"/>
        <w:rPr>
          <w:rFonts w:hint="default" w:ascii="Times New Roman" w:hAnsi="Times New Roman" w:cs="Times New Roman"/>
          <w:sz w:val="24"/>
        </w:rPr>
      </w:pPr>
    </w:p>
    <w:p>
      <w:pPr>
        <w:keepNext w:val="0"/>
        <w:keepLines w:val="0"/>
        <w:pageBreakBefore w:val="0"/>
        <w:widowControl w:val="0"/>
        <w:kinsoku/>
        <w:wordWrap/>
        <w:overflowPunct/>
        <w:topLinePunct w:val="0"/>
        <w:autoSpaceDE/>
        <w:autoSpaceDN/>
        <w:bidi w:val="0"/>
        <w:adjustRightInd/>
        <w:snapToGrid/>
        <w:spacing w:line="700" w:lineRule="exact"/>
        <w:jc w:val="center"/>
        <w:textAlignment w:val="auto"/>
        <w:rPr>
          <w:rFonts w:hint="eastAsia" w:eastAsia="方正小标宋简体" w:cs="Times New Roman"/>
          <w:b w:val="0"/>
          <w:bCs w:val="0"/>
          <w:sz w:val="44"/>
          <w:szCs w:val="44"/>
          <w:lang w:val="en-US" w:eastAsia="zh-CN"/>
        </w:rPr>
      </w:pPr>
      <w:r>
        <w:rPr>
          <w:rFonts w:hint="eastAsia" w:ascii="方正小标宋简体" w:hAnsi="方正小标宋简体" w:eastAsia="方正小标宋简体" w:cs="方正小标宋简体"/>
          <w:b w:val="0"/>
          <w:bCs w:val="0"/>
          <w:sz w:val="44"/>
          <w:szCs w:val="44"/>
        </w:rPr>
        <w:t>202</w:t>
      </w:r>
      <w:r>
        <w:rPr>
          <w:rFonts w:hint="eastAsia" w:ascii="方正小标宋简体" w:hAnsi="方正小标宋简体" w:eastAsia="方正小标宋简体" w:cs="方正小标宋简体"/>
          <w:b w:val="0"/>
          <w:bCs w:val="0"/>
          <w:sz w:val="44"/>
          <w:szCs w:val="44"/>
          <w:lang w:val="en-US" w:eastAsia="zh-CN"/>
        </w:rPr>
        <w:t>5</w:t>
      </w:r>
      <w:r>
        <w:rPr>
          <w:rFonts w:hint="default" w:ascii="Times New Roman" w:hAnsi="Times New Roman" w:eastAsia="方正小标宋简体" w:cs="Times New Roman"/>
          <w:b w:val="0"/>
          <w:bCs w:val="0"/>
          <w:sz w:val="44"/>
          <w:szCs w:val="44"/>
        </w:rPr>
        <w:t>年度内蒙古</w:t>
      </w:r>
      <w:r>
        <w:rPr>
          <w:rFonts w:hint="eastAsia" w:eastAsia="方正小标宋简体" w:cs="Times New Roman"/>
          <w:b w:val="0"/>
          <w:bCs w:val="0"/>
          <w:sz w:val="44"/>
          <w:szCs w:val="44"/>
          <w:lang w:val="en-US" w:eastAsia="zh-CN"/>
        </w:rPr>
        <w:t>大兴安岭森林公安局</w:t>
      </w:r>
    </w:p>
    <w:p>
      <w:pPr>
        <w:keepNext w:val="0"/>
        <w:keepLines w:val="0"/>
        <w:pageBreakBefore w:val="0"/>
        <w:widowControl w:val="0"/>
        <w:kinsoku/>
        <w:wordWrap/>
        <w:overflowPunct/>
        <w:topLinePunct w:val="0"/>
        <w:autoSpaceDE/>
        <w:autoSpaceDN/>
        <w:bidi w:val="0"/>
        <w:adjustRightInd/>
        <w:snapToGrid/>
        <w:spacing w:line="700" w:lineRule="exact"/>
        <w:jc w:val="center"/>
        <w:textAlignment w:val="auto"/>
        <w:rPr>
          <w:rFonts w:hint="eastAsia" w:ascii="Times New Roman" w:hAnsi="Times New Roman" w:eastAsia="方正小标宋简体" w:cs="Times New Roman"/>
          <w:b w:val="0"/>
          <w:bCs w:val="0"/>
          <w:sz w:val="52"/>
          <w:szCs w:val="52"/>
          <w:lang w:eastAsia="zh-CN"/>
        </w:rPr>
      </w:pPr>
      <w:r>
        <w:rPr>
          <w:rFonts w:hint="eastAsia" w:eastAsia="方正小标宋简体" w:cs="Times New Roman"/>
          <w:b w:val="0"/>
          <w:bCs w:val="0"/>
          <w:sz w:val="44"/>
          <w:szCs w:val="44"/>
          <w:lang w:val="en-US" w:eastAsia="zh-CN"/>
        </w:rPr>
        <w:t>莫尔道嘎分局</w:t>
      </w:r>
      <w:r>
        <w:rPr>
          <w:rFonts w:hint="default" w:ascii="Times New Roman" w:hAnsi="Times New Roman" w:eastAsia="方正小标宋简体" w:cs="Times New Roman"/>
          <w:b w:val="0"/>
          <w:bCs w:val="0"/>
          <w:sz w:val="44"/>
          <w:szCs w:val="44"/>
          <w:lang w:eastAsia="zh-CN"/>
        </w:rPr>
        <w:t>决算</w:t>
      </w:r>
      <w:r>
        <w:rPr>
          <w:rFonts w:hint="default" w:ascii="Times New Roman" w:hAnsi="Times New Roman" w:eastAsia="方正小标宋简体" w:cs="Times New Roman"/>
          <w:b w:val="0"/>
          <w:bCs w:val="0"/>
          <w:sz w:val="44"/>
          <w:szCs w:val="44"/>
        </w:rPr>
        <w:t>公开</w:t>
      </w:r>
      <w:r>
        <w:rPr>
          <w:rFonts w:hint="eastAsia" w:eastAsia="方正小标宋简体" w:cs="Times New Roman"/>
          <w:b w:val="0"/>
          <w:bCs w:val="0"/>
          <w:sz w:val="44"/>
          <w:szCs w:val="44"/>
          <w:lang w:eastAsia="zh-CN"/>
        </w:rPr>
        <w:t>报告</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Times New Roman" w:hAnsi="Times New Roman" w:cs="Times New Roman"/>
          <w:b w:val="0"/>
          <w:bCs w:val="0"/>
          <w:sz w:val="52"/>
          <w:szCs w:val="52"/>
        </w:rPr>
      </w:pP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Times New Roman" w:hAnsi="Times New Roman" w:cs="Times New Roman"/>
          <w:b/>
          <w:bCs/>
          <w:sz w:val="52"/>
          <w:szCs w:val="52"/>
        </w:rPr>
      </w:pP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Times New Roman" w:hAnsi="Times New Roman" w:cs="Times New Roman"/>
          <w:b/>
          <w:bCs/>
          <w:sz w:val="52"/>
          <w:szCs w:val="52"/>
        </w:rPr>
      </w:pP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Times New Roman" w:hAnsi="Times New Roman" w:cs="Times New Roman"/>
          <w:b/>
          <w:bCs/>
          <w:sz w:val="52"/>
          <w:szCs w:val="52"/>
        </w:rPr>
      </w:pP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Times New Roman" w:hAnsi="Times New Roman" w:cs="Times New Roman"/>
          <w:b/>
          <w:bCs/>
          <w:sz w:val="52"/>
          <w:szCs w:val="52"/>
        </w:rPr>
      </w:pP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Times New Roman" w:hAnsi="Times New Roman" w:cs="Times New Roman"/>
          <w:b/>
          <w:bCs/>
          <w:sz w:val="52"/>
          <w:szCs w:val="52"/>
        </w:rPr>
      </w:pP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Times New Roman" w:hAnsi="Times New Roman" w:cs="Times New Roman"/>
          <w:b/>
          <w:bCs/>
          <w:sz w:val="52"/>
          <w:szCs w:val="52"/>
        </w:rPr>
      </w:pP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Times New Roman" w:hAnsi="Times New Roman" w:cs="Times New Roman"/>
          <w:b/>
          <w:bCs/>
          <w:sz w:val="52"/>
          <w:szCs w:val="52"/>
        </w:rPr>
      </w:pP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Times New Roman" w:hAnsi="Times New Roman" w:cs="Times New Roman"/>
          <w:b/>
          <w:bCs/>
          <w:sz w:val="52"/>
          <w:szCs w:val="52"/>
        </w:rPr>
      </w:pPr>
    </w:p>
    <w:p>
      <w:pPr>
        <w:keepNext w:val="0"/>
        <w:keepLines w:val="0"/>
        <w:pageBreakBefore w:val="0"/>
        <w:widowControl w:val="0"/>
        <w:kinsoku/>
        <w:wordWrap/>
        <w:overflowPunct/>
        <w:topLinePunct w:val="0"/>
        <w:autoSpaceDE/>
        <w:autoSpaceDN/>
        <w:bidi w:val="0"/>
        <w:adjustRightInd/>
        <w:snapToGrid/>
        <w:spacing w:line="560" w:lineRule="exact"/>
        <w:jc w:val="both"/>
        <w:textAlignment w:val="auto"/>
        <w:rPr>
          <w:rFonts w:hint="default" w:ascii="Times New Roman" w:hAnsi="Times New Roman" w:cs="Times New Roman"/>
          <w:b/>
          <w:bCs/>
          <w:sz w:val="52"/>
          <w:szCs w:val="52"/>
        </w:rPr>
      </w:pP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Times New Roman" w:hAnsi="Times New Roman" w:eastAsia="方正小标宋简体" w:cs="Times New Roman"/>
          <w:b w:val="0"/>
          <w:bCs w:val="0"/>
          <w:kern w:val="0"/>
          <w:sz w:val="44"/>
          <w:szCs w:val="44"/>
        </w:rPr>
      </w:pPr>
      <w:bookmarkStart w:id="0" w:name="a000"/>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Times New Roman" w:hAnsi="Times New Roman" w:eastAsia="方正小标宋简体" w:cs="Times New Roman"/>
          <w:b w:val="0"/>
          <w:bCs w:val="0"/>
          <w:kern w:val="0"/>
          <w:sz w:val="44"/>
          <w:szCs w:val="44"/>
        </w:rPr>
      </w:pP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Times New Roman" w:hAnsi="Times New Roman" w:eastAsia="方正小标宋简体" w:cs="Times New Roman"/>
          <w:b w:val="0"/>
          <w:bCs w:val="0"/>
          <w:kern w:val="0"/>
          <w:sz w:val="44"/>
          <w:szCs w:val="44"/>
        </w:rPr>
      </w:pP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Times New Roman" w:hAnsi="Times New Roman" w:eastAsia="方正小标宋简体" w:cs="Times New Roman"/>
          <w:b w:val="0"/>
          <w:bCs w:val="0"/>
          <w:kern w:val="0"/>
          <w:sz w:val="44"/>
          <w:szCs w:val="44"/>
        </w:rPr>
      </w:pP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Times New Roman" w:hAnsi="Times New Roman" w:eastAsia="方正小标宋简体" w:cs="Times New Roman"/>
          <w:b w:val="0"/>
          <w:bCs w:val="0"/>
          <w:kern w:val="0"/>
          <w:sz w:val="44"/>
          <w:szCs w:val="44"/>
        </w:rPr>
      </w:pP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Times New Roman" w:hAnsi="Times New Roman" w:eastAsia="方正小标宋简体" w:cs="Times New Roman"/>
          <w:b w:val="0"/>
          <w:bCs w:val="0"/>
          <w:kern w:val="0"/>
          <w:sz w:val="44"/>
          <w:szCs w:val="44"/>
        </w:rPr>
      </w:pP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Times New Roman" w:hAnsi="Times New Roman" w:eastAsia="方正小标宋简体" w:cs="Times New Roman"/>
          <w:b w:val="0"/>
          <w:bCs w:val="0"/>
          <w:kern w:val="0"/>
          <w:sz w:val="44"/>
          <w:szCs w:val="44"/>
        </w:rPr>
      </w:pP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Times New Roman" w:hAnsi="Times New Roman" w:eastAsia="方正小标宋简体" w:cs="Times New Roman"/>
          <w:b w:val="0"/>
          <w:bCs w:val="0"/>
          <w:kern w:val="0"/>
          <w:sz w:val="44"/>
          <w:szCs w:val="44"/>
        </w:rPr>
      </w:pPr>
    </w:p>
    <w:p>
      <w:pPr>
        <w:keepNext w:val="0"/>
        <w:keepLines w:val="0"/>
        <w:pageBreakBefore w:val="0"/>
        <w:widowControl w:val="0"/>
        <w:kinsoku/>
        <w:wordWrap/>
        <w:overflowPunct/>
        <w:topLinePunct w:val="0"/>
        <w:autoSpaceDE/>
        <w:autoSpaceDN/>
        <w:bidi w:val="0"/>
        <w:adjustRightInd/>
        <w:snapToGrid/>
        <w:spacing w:line="560" w:lineRule="exact"/>
        <w:jc w:val="both"/>
        <w:textAlignment w:val="auto"/>
        <w:rPr>
          <w:rFonts w:hint="default" w:ascii="Times New Roman" w:hAnsi="Times New Roman" w:eastAsia="方正小标宋简体" w:cs="Times New Roman"/>
          <w:b w:val="0"/>
          <w:bCs w:val="0"/>
          <w:kern w:val="0"/>
          <w:sz w:val="44"/>
          <w:szCs w:val="44"/>
        </w:rPr>
      </w:pP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Times New Roman" w:hAnsi="Times New Roman" w:eastAsia="方正小标宋简体" w:cs="Times New Roman"/>
          <w:b w:val="0"/>
          <w:bCs w:val="0"/>
          <w:kern w:val="0"/>
          <w:sz w:val="44"/>
          <w:szCs w:val="44"/>
        </w:rPr>
      </w:pPr>
      <w:r>
        <w:rPr>
          <w:rFonts w:hint="default" w:ascii="Times New Roman" w:hAnsi="Times New Roman" w:eastAsia="方正小标宋简体" w:cs="Times New Roman"/>
          <w:b w:val="0"/>
          <w:bCs w:val="0"/>
          <w:kern w:val="0"/>
          <w:sz w:val="44"/>
          <w:szCs w:val="44"/>
        </w:rPr>
        <w:t>目 录</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Times New Roman" w:hAnsi="Times New Roman" w:eastAsia="方正小标宋简体" w:cs="Times New Roman"/>
          <w:b w:val="0"/>
          <w:bCs w:val="0"/>
          <w:kern w:val="0"/>
          <w:sz w:val="44"/>
          <w:szCs w:val="44"/>
        </w:rPr>
      </w:pP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黑体" w:hAnsi="黑体" w:eastAsia="黑体" w:cs="黑体"/>
          <w:kern w:val="0"/>
          <w:sz w:val="32"/>
          <w:szCs w:val="32"/>
        </w:rPr>
      </w:pPr>
      <w:r>
        <w:rPr>
          <w:rFonts w:hint="eastAsia" w:ascii="黑体" w:hAnsi="黑体" w:eastAsia="黑体" w:cs="黑体"/>
          <w:kern w:val="0"/>
          <w:sz w:val="32"/>
          <w:szCs w:val="32"/>
        </w:rPr>
        <w:t>第一部分 单位概况</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一、主要职能、职责</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二、单位机构设置及决算单位构成情况</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三、202</w:t>
      </w:r>
      <w:r>
        <w:rPr>
          <w:rFonts w:hint="eastAsia" w:eastAsia="仿宋_GB2312" w:cs="Times New Roman"/>
          <w:kern w:val="0"/>
          <w:sz w:val="32"/>
          <w:szCs w:val="32"/>
          <w:lang w:val="en-US" w:eastAsia="zh-CN"/>
        </w:rPr>
        <w:t>5</w:t>
      </w:r>
      <w:r>
        <w:rPr>
          <w:rFonts w:hint="default" w:ascii="Times New Roman" w:hAnsi="Times New Roman" w:eastAsia="仿宋_GB2312" w:cs="Times New Roman"/>
          <w:kern w:val="0"/>
          <w:sz w:val="32"/>
          <w:szCs w:val="32"/>
        </w:rPr>
        <w:t>年度单位主要工作完成情况</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黑体" w:hAnsi="黑体" w:eastAsia="黑体" w:cs="黑体"/>
          <w:kern w:val="0"/>
          <w:sz w:val="32"/>
          <w:szCs w:val="32"/>
        </w:rPr>
      </w:pPr>
      <w:r>
        <w:rPr>
          <w:rFonts w:hint="eastAsia" w:ascii="黑体" w:hAnsi="黑体" w:eastAsia="黑体" w:cs="黑体"/>
          <w:kern w:val="0"/>
          <w:sz w:val="32"/>
          <w:szCs w:val="32"/>
        </w:rPr>
        <w:t>第二部分 单位决算情况说明</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一、收入支出决算总体情况说明</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二、收入决算情况说明</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三、支出决算情况说明</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四、财政拨款收入支出决算总体情况说明</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五、一般公共预算财政拨款支出决算情况说明</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六、一般公共预算财政拨款基本支出决算情况说明</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七、一般公共预算财政拨款项目支出决算情况说明</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八、财政拨款“三公”经费支出决算情况说明</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九、政府性基金预算财政拨款支出决算情况说明</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十、国有资本经营预算财政拨款支出决算情况说明</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十一、机</w:t>
      </w:r>
      <w:r>
        <w:rPr>
          <w:rFonts w:hint="eastAsia" w:eastAsia="仿宋_GB2312" w:cs="Times New Roman"/>
          <w:kern w:val="0"/>
          <w:sz w:val="32"/>
          <w:szCs w:val="32"/>
          <w:lang w:val="en-US" w:eastAsia="zh-CN"/>
        </w:rPr>
        <w:t>关</w:t>
      </w:r>
      <w:r>
        <w:rPr>
          <w:rFonts w:hint="default" w:ascii="Times New Roman" w:hAnsi="Times New Roman" w:eastAsia="仿宋_GB2312" w:cs="Times New Roman"/>
          <w:kern w:val="0"/>
          <w:sz w:val="32"/>
          <w:szCs w:val="32"/>
        </w:rPr>
        <w:t>运行经费</w:t>
      </w:r>
      <w:r>
        <w:rPr>
          <w:rFonts w:hint="eastAsia" w:eastAsia="仿宋_GB2312" w:cs="Times New Roman"/>
          <w:kern w:val="0"/>
          <w:sz w:val="32"/>
          <w:szCs w:val="32"/>
          <w:lang w:eastAsia="zh-CN"/>
        </w:rPr>
        <w:t>（</w:t>
      </w:r>
      <w:r>
        <w:rPr>
          <w:rFonts w:hint="eastAsia" w:eastAsia="仿宋_GB2312" w:cs="Times New Roman"/>
          <w:kern w:val="0"/>
          <w:sz w:val="32"/>
          <w:szCs w:val="32"/>
          <w:lang w:val="en-US" w:eastAsia="zh-CN"/>
        </w:rPr>
        <w:t>公用经费）</w:t>
      </w:r>
      <w:r>
        <w:rPr>
          <w:rFonts w:hint="default" w:ascii="Times New Roman" w:hAnsi="Times New Roman" w:eastAsia="仿宋_GB2312" w:cs="Times New Roman"/>
          <w:kern w:val="0"/>
          <w:sz w:val="32"/>
          <w:szCs w:val="32"/>
        </w:rPr>
        <w:t>支出决算情况说明</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十二、政府采购支出决算情况说明</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十三、国有资产占用情况说明</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十四、预算绩效情况说明</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黑体" w:hAnsi="黑体" w:eastAsia="黑体" w:cs="黑体"/>
          <w:kern w:val="0"/>
          <w:sz w:val="32"/>
          <w:szCs w:val="32"/>
        </w:rPr>
      </w:pPr>
      <w:r>
        <w:rPr>
          <w:rFonts w:hint="eastAsia" w:ascii="黑体" w:hAnsi="黑体" w:eastAsia="黑体" w:cs="黑体"/>
          <w:kern w:val="0"/>
          <w:sz w:val="32"/>
          <w:szCs w:val="32"/>
        </w:rPr>
        <w:t>第三部分 名词解释</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黑体" w:hAnsi="黑体" w:eastAsia="黑体" w:cs="黑体"/>
          <w:kern w:val="0"/>
          <w:sz w:val="32"/>
          <w:szCs w:val="32"/>
        </w:rPr>
      </w:pPr>
      <w:r>
        <w:rPr>
          <w:rFonts w:hint="eastAsia" w:ascii="黑体" w:hAnsi="黑体" w:eastAsia="黑体" w:cs="黑体"/>
          <w:kern w:val="0"/>
          <w:sz w:val="32"/>
          <w:szCs w:val="32"/>
        </w:rPr>
        <w:t>第四部分 决算公开联系方式及信息反馈渠道</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方正楷体_GB2312" w:cs="Times New Roman"/>
          <w:kern w:val="0"/>
          <w:sz w:val="32"/>
          <w:szCs w:val="32"/>
        </w:rPr>
      </w:pPr>
      <w:r>
        <w:rPr>
          <w:rFonts w:hint="eastAsia" w:ascii="黑体" w:hAnsi="黑体" w:eastAsia="黑体" w:cs="黑体"/>
          <w:kern w:val="0"/>
          <w:sz w:val="32"/>
          <w:szCs w:val="32"/>
        </w:rPr>
        <w:t>第五部分 单位决算表</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一、收入支出决算总表</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二、收入决算表</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三、支出决算表</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四、财政拨款收入支出决算总表</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五、一般公共预算财政拨款支出决算表</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六、一般公共预算财政拨款基本支出决算明细表</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七、一般公共预算财政拨款项目支出决算明细表</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八、政府性基金预算财政拨款收入支出决算表</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九、国有资本经营预算财政拨款支出决算表</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十、财政拨款“三公”经费支出决算表</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十一、机</w:t>
      </w:r>
      <w:r>
        <w:rPr>
          <w:rFonts w:hint="eastAsia" w:eastAsia="仿宋_GB2312" w:cs="Times New Roman"/>
          <w:kern w:val="0"/>
          <w:sz w:val="32"/>
          <w:szCs w:val="32"/>
          <w:lang w:val="en-US" w:eastAsia="zh-CN"/>
        </w:rPr>
        <w:t>关</w:t>
      </w:r>
      <w:r>
        <w:rPr>
          <w:rFonts w:hint="default" w:ascii="Times New Roman" w:hAnsi="Times New Roman" w:eastAsia="仿宋_GB2312" w:cs="Times New Roman"/>
          <w:kern w:val="0"/>
          <w:sz w:val="32"/>
          <w:szCs w:val="32"/>
        </w:rPr>
        <w:t>运行经费支出、国有资产占用情况及政府采购支出信息表</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Times New Roman" w:hAnsi="Times New Roman" w:eastAsia="方正小标宋简体" w:cs="Times New Roman"/>
          <w:b w:val="0"/>
          <w:bCs w:val="0"/>
          <w:color w:val="000000"/>
          <w:kern w:val="0"/>
          <w:sz w:val="44"/>
          <w:szCs w:val="44"/>
        </w:rPr>
      </w:pP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Times New Roman" w:hAnsi="Times New Roman" w:eastAsia="方正小标宋简体" w:cs="Times New Roman"/>
          <w:b w:val="0"/>
          <w:bCs w:val="0"/>
          <w:color w:val="000000"/>
          <w:kern w:val="0"/>
          <w:sz w:val="44"/>
          <w:szCs w:val="44"/>
        </w:rPr>
      </w:pP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Times New Roman" w:hAnsi="Times New Roman" w:eastAsia="方正小标宋简体" w:cs="Times New Roman"/>
          <w:b w:val="0"/>
          <w:bCs w:val="0"/>
          <w:color w:val="000000"/>
          <w:kern w:val="0"/>
          <w:sz w:val="44"/>
          <w:szCs w:val="44"/>
        </w:rPr>
      </w:pP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Times New Roman" w:hAnsi="Times New Roman" w:eastAsia="方正小标宋简体" w:cs="Times New Roman"/>
          <w:b w:val="0"/>
          <w:bCs w:val="0"/>
          <w:color w:val="000000"/>
          <w:kern w:val="0"/>
          <w:sz w:val="44"/>
          <w:szCs w:val="44"/>
        </w:rPr>
      </w:pP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Times New Roman" w:hAnsi="Times New Roman" w:eastAsia="方正小标宋简体" w:cs="Times New Roman"/>
          <w:b w:val="0"/>
          <w:bCs w:val="0"/>
          <w:color w:val="000000"/>
          <w:kern w:val="0"/>
          <w:sz w:val="44"/>
          <w:szCs w:val="44"/>
        </w:rPr>
      </w:pP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Times New Roman" w:hAnsi="Times New Roman" w:eastAsia="方正小标宋简体" w:cs="Times New Roman"/>
          <w:b w:val="0"/>
          <w:bCs w:val="0"/>
          <w:color w:val="000000"/>
          <w:kern w:val="0"/>
          <w:sz w:val="44"/>
          <w:szCs w:val="44"/>
        </w:rPr>
      </w:pP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Times New Roman" w:hAnsi="Times New Roman" w:eastAsia="方正小标宋简体" w:cs="Times New Roman"/>
          <w:b w:val="0"/>
          <w:bCs w:val="0"/>
          <w:color w:val="000000"/>
          <w:kern w:val="0"/>
          <w:sz w:val="44"/>
          <w:szCs w:val="44"/>
        </w:rPr>
      </w:pP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Times New Roman" w:hAnsi="Times New Roman" w:eastAsia="方正小标宋简体" w:cs="Times New Roman"/>
          <w:b w:val="0"/>
          <w:bCs w:val="0"/>
          <w:color w:val="000000"/>
          <w:kern w:val="0"/>
          <w:sz w:val="44"/>
          <w:szCs w:val="44"/>
        </w:rPr>
      </w:pP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Times New Roman" w:hAnsi="Times New Roman" w:eastAsia="方正小标宋简体" w:cs="Times New Roman"/>
          <w:b w:val="0"/>
          <w:bCs w:val="0"/>
          <w:color w:val="000000"/>
          <w:kern w:val="0"/>
          <w:sz w:val="44"/>
          <w:szCs w:val="44"/>
        </w:rPr>
      </w:pP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Times New Roman" w:hAnsi="Times New Roman" w:eastAsia="方正小标宋简体" w:cs="Times New Roman"/>
          <w:b w:val="0"/>
          <w:bCs w:val="0"/>
          <w:color w:val="000000"/>
          <w:kern w:val="0"/>
          <w:sz w:val="44"/>
          <w:szCs w:val="44"/>
        </w:rPr>
      </w:pP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Times New Roman" w:hAnsi="Times New Roman" w:eastAsia="方正小标宋简体" w:cs="Times New Roman"/>
          <w:b w:val="0"/>
          <w:bCs w:val="0"/>
          <w:color w:val="000000"/>
          <w:kern w:val="0"/>
          <w:sz w:val="44"/>
          <w:szCs w:val="44"/>
        </w:rPr>
      </w:pP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Times New Roman" w:hAnsi="Times New Roman" w:eastAsia="方正小标宋简体" w:cs="Times New Roman"/>
          <w:b w:val="0"/>
          <w:bCs w:val="0"/>
          <w:color w:val="000000"/>
          <w:kern w:val="0"/>
          <w:sz w:val="44"/>
          <w:szCs w:val="44"/>
        </w:rPr>
      </w:pPr>
    </w:p>
    <w:p>
      <w:pPr>
        <w:keepNext w:val="0"/>
        <w:keepLines w:val="0"/>
        <w:pageBreakBefore w:val="0"/>
        <w:widowControl w:val="0"/>
        <w:numPr>
          <w:ilvl w:val="0"/>
          <w:numId w:val="1"/>
        </w:numPr>
        <w:kinsoku/>
        <w:wordWrap/>
        <w:overflowPunct/>
        <w:topLinePunct w:val="0"/>
        <w:autoSpaceDE/>
        <w:autoSpaceDN/>
        <w:bidi w:val="0"/>
        <w:adjustRightInd/>
        <w:snapToGrid/>
        <w:spacing w:line="560" w:lineRule="exact"/>
        <w:jc w:val="center"/>
        <w:textAlignment w:val="auto"/>
        <w:rPr>
          <w:rFonts w:hint="default" w:ascii="Times New Roman" w:hAnsi="Times New Roman" w:eastAsia="方正小标宋简体" w:cs="Times New Roman"/>
          <w:b w:val="0"/>
          <w:bCs w:val="0"/>
          <w:color w:val="000000"/>
          <w:kern w:val="0"/>
          <w:sz w:val="44"/>
          <w:szCs w:val="44"/>
        </w:rPr>
      </w:pPr>
      <w:r>
        <w:rPr>
          <w:rFonts w:hint="default" w:ascii="Times New Roman" w:hAnsi="Times New Roman" w:eastAsia="方正小标宋简体" w:cs="Times New Roman"/>
          <w:b w:val="0"/>
          <w:bCs w:val="0"/>
          <w:color w:val="000000"/>
          <w:kern w:val="0"/>
          <w:sz w:val="44"/>
          <w:szCs w:val="44"/>
        </w:rPr>
        <w:t>单位概况</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方正楷体_GB2312" w:cs="Times New Roman"/>
          <w:b w:val="0"/>
          <w:bCs w:val="0"/>
          <w:kern w:val="0"/>
          <w:sz w:val="32"/>
          <w:szCs w:val="32"/>
        </w:rPr>
      </w:pP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黑体" w:hAnsi="黑体" w:eastAsia="黑体" w:cs="黑体"/>
          <w:b w:val="0"/>
          <w:bCs w:val="0"/>
          <w:kern w:val="0"/>
          <w:sz w:val="32"/>
          <w:szCs w:val="32"/>
        </w:rPr>
      </w:pPr>
      <w:r>
        <w:rPr>
          <w:rFonts w:hint="eastAsia" w:ascii="黑体" w:hAnsi="黑体" w:eastAsia="黑体" w:cs="黑体"/>
          <w:b w:val="0"/>
          <w:bCs w:val="0"/>
          <w:kern w:val="0"/>
          <w:sz w:val="32"/>
          <w:szCs w:val="32"/>
        </w:rPr>
        <w:t>一、主要职能、职责</w:t>
      </w:r>
    </w:p>
    <w:p>
      <w:pPr>
        <w:keepNext w:val="0"/>
        <w:keepLines w:val="0"/>
        <w:pageBreakBefore w:val="0"/>
        <w:widowControl w:val="0"/>
        <w:kinsoku/>
        <w:wordWrap/>
        <w:overflowPunct/>
        <w:topLinePunct w:val="0"/>
        <w:autoSpaceDE/>
        <w:autoSpaceDN/>
        <w:bidi w:val="0"/>
        <w:adjustRightInd/>
        <w:spacing w:line="560" w:lineRule="exact"/>
        <w:ind w:firstLine="643" w:firstLineChars="200"/>
        <w:textAlignment w:val="auto"/>
        <w:rPr>
          <w:rFonts w:hint="eastAsia" w:ascii="楷体_GB2312" w:hAnsi="Times New Roman" w:eastAsia="楷体_GB2312" w:cs="Times New Roman"/>
          <w:b/>
          <w:bCs/>
          <w:sz w:val="32"/>
          <w:szCs w:val="32"/>
          <w:lang w:val="en-US" w:eastAsia="zh-CN"/>
        </w:rPr>
      </w:pPr>
      <w:r>
        <w:rPr>
          <w:rFonts w:hint="eastAsia" w:ascii="楷体_GB2312" w:hAnsi="Times New Roman" w:eastAsia="楷体_GB2312" w:cs="Times New Roman"/>
          <w:b/>
          <w:bCs/>
          <w:sz w:val="32"/>
          <w:szCs w:val="32"/>
          <w:lang w:eastAsia="zh-CN"/>
        </w:rPr>
        <w:t>（</w:t>
      </w:r>
      <w:r>
        <w:rPr>
          <w:rFonts w:hint="eastAsia" w:ascii="楷体_GB2312" w:hAnsi="Times New Roman" w:eastAsia="楷体_GB2312" w:cs="Times New Roman"/>
          <w:b/>
          <w:bCs/>
          <w:sz w:val="32"/>
          <w:szCs w:val="32"/>
          <w:lang w:val="en-US" w:eastAsia="zh-CN"/>
        </w:rPr>
        <w:t>一</w:t>
      </w:r>
      <w:r>
        <w:rPr>
          <w:rFonts w:hint="eastAsia" w:ascii="楷体_GB2312" w:hAnsi="Times New Roman" w:eastAsia="楷体_GB2312" w:cs="Times New Roman"/>
          <w:b/>
          <w:bCs/>
          <w:sz w:val="32"/>
          <w:szCs w:val="32"/>
          <w:lang w:eastAsia="zh-CN"/>
        </w:rPr>
        <w:t>）</w:t>
      </w:r>
      <w:r>
        <w:rPr>
          <w:rFonts w:hint="eastAsia" w:ascii="楷体_GB2312" w:hAnsi="Times New Roman" w:eastAsia="楷体_GB2312" w:cs="Times New Roman"/>
          <w:b/>
          <w:bCs/>
          <w:sz w:val="32"/>
          <w:szCs w:val="32"/>
          <w:lang w:val="en-US" w:eastAsia="zh-CN"/>
        </w:rPr>
        <w:t>单位职能</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内蒙古大兴安岭森林公安局莫尔道嘎分局是内蒙古自治区公安厅直属的三级预算单位，为正科级单位。</w:t>
      </w:r>
    </w:p>
    <w:p>
      <w:pPr>
        <w:keepNext w:val="0"/>
        <w:keepLines w:val="0"/>
        <w:pageBreakBefore w:val="0"/>
        <w:widowControl w:val="0"/>
        <w:kinsoku/>
        <w:wordWrap/>
        <w:overflowPunct/>
        <w:topLinePunct w:val="0"/>
        <w:autoSpaceDE/>
        <w:autoSpaceDN/>
        <w:bidi w:val="0"/>
        <w:adjustRightInd/>
        <w:spacing w:line="560" w:lineRule="exact"/>
        <w:ind w:firstLine="643" w:firstLineChars="200"/>
        <w:textAlignment w:val="auto"/>
        <w:rPr>
          <w:rFonts w:hint="default" w:ascii="楷体_GB2312" w:hAnsi="Times New Roman" w:eastAsia="楷体_GB2312" w:cs="Times New Roman"/>
          <w:b/>
          <w:bCs/>
          <w:sz w:val="32"/>
          <w:szCs w:val="32"/>
          <w:lang w:val="en-US" w:eastAsia="zh-CN"/>
        </w:rPr>
      </w:pPr>
      <w:r>
        <w:rPr>
          <w:rFonts w:hint="eastAsia" w:ascii="楷体_GB2312" w:hAnsi="Times New Roman" w:eastAsia="楷体_GB2312" w:cs="Times New Roman"/>
          <w:b/>
          <w:bCs/>
          <w:sz w:val="32"/>
          <w:szCs w:val="32"/>
          <w:lang w:val="en-US" w:eastAsia="zh-CN"/>
        </w:rPr>
        <w:t>（二）主要职责</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Times New Roman" w:hAnsi="Times New Roman" w:eastAsia="仿宋_GB2312" w:cs="Times New Roman"/>
          <w:kern w:val="0"/>
          <w:sz w:val="32"/>
          <w:szCs w:val="32"/>
          <w:lang w:eastAsia="zh-CN"/>
        </w:rPr>
      </w:pPr>
      <w:r>
        <w:rPr>
          <w:rFonts w:hint="eastAsia" w:ascii="Times New Roman" w:hAnsi="Times New Roman" w:eastAsia="仿宋_GB2312" w:cs="Times New Roman"/>
          <w:kern w:val="0"/>
          <w:sz w:val="32"/>
          <w:szCs w:val="32"/>
        </w:rPr>
        <w:t>1</w:t>
      </w:r>
      <w:r>
        <w:rPr>
          <w:rFonts w:hint="eastAsia" w:ascii="Times New Roman" w:hAnsi="Times New Roman" w:eastAsia="仿宋_GB2312" w:cs="Times New Roman"/>
          <w:kern w:val="0"/>
          <w:sz w:val="32"/>
          <w:szCs w:val="32"/>
          <w:lang w:val="en-US" w:eastAsia="zh-CN"/>
        </w:rPr>
        <w:t>.</w:t>
      </w:r>
      <w:r>
        <w:rPr>
          <w:rFonts w:hint="eastAsia" w:ascii="Times New Roman" w:hAnsi="Times New Roman" w:eastAsia="仿宋_GB2312" w:cs="Times New Roman"/>
          <w:kern w:val="0"/>
          <w:sz w:val="32"/>
          <w:szCs w:val="32"/>
        </w:rPr>
        <w:t>贯彻执行上级公安机关部署的统一行动和专项斗争</w:t>
      </w:r>
      <w:r>
        <w:rPr>
          <w:rFonts w:hint="eastAsia" w:ascii="Times New Roman" w:hAnsi="Times New Roman" w:eastAsia="仿宋_GB2312" w:cs="Times New Roman"/>
          <w:kern w:val="0"/>
          <w:sz w:val="32"/>
          <w:szCs w:val="32"/>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Times New Roman" w:hAnsi="Times New Roman" w:eastAsia="仿宋_GB2312" w:cs="Times New Roman"/>
          <w:kern w:val="0"/>
          <w:sz w:val="32"/>
          <w:szCs w:val="32"/>
          <w:lang w:eastAsia="zh-CN"/>
        </w:rPr>
      </w:pPr>
      <w:r>
        <w:rPr>
          <w:rFonts w:hint="eastAsia" w:ascii="Times New Roman" w:hAnsi="Times New Roman" w:eastAsia="仿宋_GB2312" w:cs="Times New Roman"/>
          <w:kern w:val="0"/>
          <w:sz w:val="32"/>
          <w:szCs w:val="32"/>
        </w:rPr>
        <w:t>2</w:t>
      </w:r>
      <w:r>
        <w:rPr>
          <w:rFonts w:hint="eastAsia" w:ascii="Times New Roman" w:hAnsi="Times New Roman" w:eastAsia="仿宋_GB2312" w:cs="Times New Roman"/>
          <w:kern w:val="0"/>
          <w:sz w:val="32"/>
          <w:szCs w:val="32"/>
          <w:lang w:val="en-US" w:eastAsia="zh-CN"/>
        </w:rPr>
        <w:t>.</w:t>
      </w:r>
      <w:r>
        <w:rPr>
          <w:rFonts w:hint="eastAsia" w:ascii="Times New Roman" w:hAnsi="Times New Roman" w:eastAsia="仿宋_GB2312" w:cs="Times New Roman"/>
          <w:kern w:val="0"/>
          <w:sz w:val="32"/>
          <w:szCs w:val="32"/>
        </w:rPr>
        <w:t>负责辖区内打击破坏森林及野生动植物资源的违法犯罪活动，查处盗伐、滥伐等各类毁坏林木，破坏林地，危害陆生野生动物和珍稀植物案件</w:t>
      </w:r>
      <w:r>
        <w:rPr>
          <w:rFonts w:hint="eastAsia" w:ascii="Times New Roman" w:hAnsi="Times New Roman" w:eastAsia="仿宋_GB2312" w:cs="Times New Roman"/>
          <w:kern w:val="0"/>
          <w:sz w:val="32"/>
          <w:szCs w:val="32"/>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Times New Roman" w:hAnsi="Times New Roman" w:eastAsia="仿宋_GB2312" w:cs="Times New Roman"/>
          <w:kern w:val="0"/>
          <w:sz w:val="32"/>
          <w:szCs w:val="32"/>
          <w:lang w:eastAsia="zh-CN"/>
        </w:rPr>
      </w:pPr>
      <w:r>
        <w:rPr>
          <w:rFonts w:hint="eastAsia" w:ascii="Times New Roman" w:hAnsi="Times New Roman" w:eastAsia="仿宋_GB2312" w:cs="Times New Roman"/>
          <w:kern w:val="0"/>
          <w:sz w:val="32"/>
          <w:szCs w:val="32"/>
        </w:rPr>
        <w:t>3</w:t>
      </w:r>
      <w:r>
        <w:rPr>
          <w:rFonts w:hint="eastAsia" w:ascii="Times New Roman" w:hAnsi="Times New Roman" w:eastAsia="仿宋_GB2312" w:cs="Times New Roman"/>
          <w:kern w:val="0"/>
          <w:sz w:val="32"/>
          <w:szCs w:val="32"/>
          <w:lang w:val="en-US" w:eastAsia="zh-CN"/>
        </w:rPr>
        <w:t>.</w:t>
      </w:r>
      <w:r>
        <w:rPr>
          <w:rFonts w:hint="eastAsia" w:ascii="Times New Roman" w:hAnsi="Times New Roman" w:eastAsia="仿宋_GB2312" w:cs="Times New Roman"/>
          <w:kern w:val="0"/>
          <w:sz w:val="32"/>
          <w:szCs w:val="32"/>
        </w:rPr>
        <w:t>查处森林火灾案件以及涉林治安案件等违法犯罪案件</w:t>
      </w:r>
      <w:r>
        <w:rPr>
          <w:rFonts w:hint="eastAsia" w:ascii="Times New Roman" w:hAnsi="Times New Roman" w:eastAsia="仿宋_GB2312" w:cs="Times New Roman"/>
          <w:kern w:val="0"/>
          <w:sz w:val="32"/>
          <w:szCs w:val="32"/>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Times New Roman" w:hAnsi="Times New Roman" w:eastAsia="仿宋_GB2312" w:cs="Times New Roman"/>
          <w:kern w:val="0"/>
          <w:sz w:val="32"/>
          <w:szCs w:val="32"/>
          <w:lang w:eastAsia="zh-CN"/>
        </w:rPr>
      </w:pPr>
      <w:r>
        <w:rPr>
          <w:rFonts w:hint="eastAsia" w:ascii="Times New Roman" w:hAnsi="Times New Roman" w:eastAsia="仿宋_GB2312" w:cs="Times New Roman"/>
          <w:kern w:val="0"/>
          <w:sz w:val="32"/>
          <w:szCs w:val="32"/>
        </w:rPr>
        <w:t>4</w:t>
      </w:r>
      <w:r>
        <w:rPr>
          <w:rFonts w:hint="eastAsia" w:ascii="Times New Roman" w:hAnsi="Times New Roman" w:eastAsia="仿宋_GB2312" w:cs="Times New Roman"/>
          <w:kern w:val="0"/>
          <w:sz w:val="32"/>
          <w:szCs w:val="32"/>
          <w:lang w:val="en-US" w:eastAsia="zh-CN"/>
        </w:rPr>
        <w:t>.</w:t>
      </w:r>
      <w:r>
        <w:rPr>
          <w:rFonts w:hint="eastAsia" w:ascii="Times New Roman" w:hAnsi="Times New Roman" w:eastAsia="仿宋_GB2312" w:cs="Times New Roman"/>
          <w:kern w:val="0"/>
          <w:sz w:val="32"/>
          <w:szCs w:val="32"/>
        </w:rPr>
        <w:t>查处由林业行政管理部门授权查处的林业行政案件</w:t>
      </w:r>
      <w:r>
        <w:rPr>
          <w:rFonts w:hint="eastAsia" w:ascii="Times New Roman" w:hAnsi="Times New Roman" w:eastAsia="仿宋_GB2312" w:cs="Times New Roman"/>
          <w:kern w:val="0"/>
          <w:sz w:val="32"/>
          <w:szCs w:val="32"/>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Times New Roman" w:hAnsi="Times New Roman" w:eastAsia="仿宋_GB2312" w:cs="Times New Roman"/>
          <w:kern w:val="0"/>
          <w:sz w:val="32"/>
          <w:szCs w:val="32"/>
          <w:lang w:eastAsia="zh-CN"/>
        </w:rPr>
      </w:pPr>
      <w:r>
        <w:rPr>
          <w:rFonts w:hint="eastAsia" w:ascii="Times New Roman" w:hAnsi="Times New Roman" w:eastAsia="仿宋_GB2312" w:cs="Times New Roman"/>
          <w:kern w:val="0"/>
          <w:sz w:val="32"/>
          <w:szCs w:val="32"/>
        </w:rPr>
        <w:t>5</w:t>
      </w:r>
      <w:r>
        <w:rPr>
          <w:rFonts w:hint="eastAsia" w:ascii="Times New Roman" w:hAnsi="Times New Roman" w:eastAsia="仿宋_GB2312" w:cs="Times New Roman"/>
          <w:kern w:val="0"/>
          <w:sz w:val="32"/>
          <w:szCs w:val="32"/>
          <w:lang w:val="en-US" w:eastAsia="zh-CN"/>
        </w:rPr>
        <w:t>.</w:t>
      </w:r>
      <w:r>
        <w:rPr>
          <w:rFonts w:hint="eastAsia" w:ascii="Times New Roman" w:hAnsi="Times New Roman" w:eastAsia="仿宋_GB2312" w:cs="Times New Roman"/>
          <w:kern w:val="0"/>
          <w:sz w:val="32"/>
          <w:szCs w:val="32"/>
        </w:rPr>
        <w:t>维护辖区内的政治稳定和社会治安秩序</w:t>
      </w:r>
      <w:r>
        <w:rPr>
          <w:rFonts w:hint="eastAsia" w:ascii="Times New Roman" w:hAnsi="Times New Roman" w:eastAsia="仿宋_GB2312" w:cs="Times New Roman"/>
          <w:kern w:val="0"/>
          <w:sz w:val="32"/>
          <w:szCs w:val="32"/>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Times New Roman" w:eastAsia="仿宋_GB2312" w:cs="Times New Roman"/>
          <w:sz w:val="32"/>
          <w:szCs w:val="32"/>
        </w:rPr>
      </w:pPr>
      <w:r>
        <w:rPr>
          <w:rFonts w:hint="eastAsia" w:ascii="Times New Roman" w:hAnsi="Times New Roman" w:eastAsia="仿宋_GB2312" w:cs="Times New Roman"/>
          <w:kern w:val="0"/>
          <w:sz w:val="32"/>
          <w:szCs w:val="32"/>
        </w:rPr>
        <w:t>6</w:t>
      </w:r>
      <w:r>
        <w:rPr>
          <w:rFonts w:hint="eastAsia" w:ascii="仿宋_GB2312" w:hAnsi="Times New Roman" w:eastAsia="仿宋_GB2312" w:cs="Times New Roman"/>
          <w:sz w:val="32"/>
          <w:szCs w:val="32"/>
          <w:lang w:val="en-US" w:eastAsia="zh-CN"/>
        </w:rPr>
        <w:t>.</w:t>
      </w:r>
      <w:r>
        <w:rPr>
          <w:rFonts w:hint="eastAsia" w:ascii="仿宋_GB2312" w:hAnsi="Times New Roman" w:eastAsia="仿宋_GB2312" w:cs="Times New Roman"/>
          <w:sz w:val="32"/>
          <w:szCs w:val="32"/>
        </w:rPr>
        <w:t>承办上级交办的其他工作事项。</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黑体" w:hAnsi="黑体" w:eastAsia="黑体" w:cs="黑体"/>
          <w:b w:val="0"/>
          <w:bCs w:val="0"/>
          <w:kern w:val="0"/>
          <w:sz w:val="32"/>
          <w:szCs w:val="32"/>
        </w:rPr>
      </w:pPr>
      <w:r>
        <w:rPr>
          <w:rFonts w:hint="eastAsia" w:ascii="黑体" w:hAnsi="黑体" w:eastAsia="黑体" w:cs="黑体"/>
          <w:b w:val="0"/>
          <w:bCs w:val="0"/>
          <w:kern w:val="0"/>
          <w:sz w:val="32"/>
          <w:szCs w:val="32"/>
        </w:rPr>
        <w:t>二、单位机构设置及决算单位构成情况</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Times New Roman" w:hAnsi="Times New Roman" w:eastAsia="仿宋_GB2312" w:cs="Times New Roman"/>
          <w:kern w:val="0"/>
          <w:sz w:val="32"/>
          <w:szCs w:val="32"/>
          <w:lang w:val="en-US" w:eastAsia="zh-CN"/>
        </w:rPr>
      </w:pPr>
      <w:r>
        <w:rPr>
          <w:rFonts w:hint="eastAsia" w:ascii="Times New Roman" w:hAnsi="Times New Roman" w:eastAsia="仿宋_GB2312" w:cs="Times New Roman"/>
          <w:kern w:val="0"/>
          <w:sz w:val="32"/>
          <w:szCs w:val="32"/>
        </w:rPr>
        <w:t>1.</w:t>
      </w:r>
      <w:r>
        <w:rPr>
          <w:rFonts w:hint="eastAsia" w:ascii="Times New Roman" w:hAnsi="Times New Roman" w:eastAsia="仿宋_GB2312" w:cs="Times New Roman"/>
          <w:kern w:val="0"/>
          <w:sz w:val="32"/>
          <w:szCs w:val="32"/>
          <w:lang w:eastAsia="zh-CN"/>
        </w:rPr>
        <w:t>根据内蒙古大兴安岭森林公安局莫尔道嘎分局职责分工</w:t>
      </w:r>
      <w:r>
        <w:rPr>
          <w:rFonts w:hint="eastAsia" w:ascii="Times New Roman" w:hAnsi="Times New Roman" w:eastAsia="仿宋_GB2312" w:cs="Times New Roman"/>
          <w:kern w:val="0"/>
          <w:sz w:val="32"/>
          <w:szCs w:val="32"/>
          <w:lang w:val="en-US" w:eastAsia="zh-CN"/>
        </w:rPr>
        <w:t>，本单位内设机构信息因涉及敏感内容，未在报告中体现。本单位无下属单位。</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eastAsia" w:ascii="Times New Roman" w:hAnsi="Times New Roman" w:eastAsia="仿宋_GB2312" w:cs="Times New Roman"/>
          <w:kern w:val="0"/>
          <w:sz w:val="32"/>
          <w:szCs w:val="32"/>
        </w:rPr>
        <w:t>2.从</w:t>
      </w:r>
      <w:r>
        <w:rPr>
          <w:rFonts w:hint="default" w:ascii="Times New Roman" w:hAnsi="Times New Roman" w:eastAsia="仿宋_GB2312" w:cs="Times New Roman"/>
          <w:kern w:val="0"/>
          <w:sz w:val="32"/>
          <w:szCs w:val="32"/>
        </w:rPr>
        <w:t>决算单位构成看，纳入本财政汇总决算编制范围的预算单位共计</w:t>
      </w:r>
      <w:r>
        <w:rPr>
          <w:rFonts w:hint="eastAsia" w:ascii="Times New Roman" w:hAnsi="Times New Roman" w:eastAsia="仿宋_GB2312" w:cs="Times New Roman"/>
          <w:kern w:val="0"/>
          <w:sz w:val="32"/>
          <w:szCs w:val="32"/>
          <w:lang w:val="en-US" w:eastAsia="zh-CN"/>
        </w:rPr>
        <w:t>1</w:t>
      </w:r>
      <w:r>
        <w:rPr>
          <w:rFonts w:hint="default" w:ascii="Times New Roman" w:hAnsi="Times New Roman" w:eastAsia="仿宋_GB2312" w:cs="Times New Roman"/>
          <w:kern w:val="0"/>
          <w:sz w:val="32"/>
          <w:szCs w:val="32"/>
        </w:rPr>
        <w:t>家。详细情况见表：</w:t>
      </w:r>
    </w:p>
    <w:tbl>
      <w:tblPr>
        <w:tblStyle w:val="22"/>
        <w:tblW w:w="4494" w:type="pct"/>
        <w:jc w:val="center"/>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847"/>
        <w:gridCol w:w="3331"/>
        <w:gridCol w:w="3322"/>
      </w:tblGrid>
      <w:tr>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trHeight w:val="526" w:hRule="atLeast"/>
          <w:tblHeader/>
          <w:jc w:val="center"/>
        </w:trPr>
        <w:tc>
          <w:tcPr>
            <w:tcW w:w="565" w:type="pct"/>
            <w:tcBorders>
              <w:bottom w:val="inset" w:color="808080" w:sz="6" w:space="0"/>
              <w:right w:val="inset" w:color="808080" w:sz="6" w:space="0"/>
            </w:tcBorders>
            <w:noWrap w:val="0"/>
            <w:tcMar>
              <w:top w:w="22" w:type="dxa"/>
              <w:left w:w="22" w:type="dxa"/>
              <w:bottom w:w="22" w:type="dxa"/>
              <w:right w:w="22" w:type="dxa"/>
            </w:tcMar>
            <w:vAlign w:val="center"/>
          </w:tcPr>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Times New Roman" w:hAnsi="Times New Roman" w:eastAsia="黑体" w:cs="Times New Roman"/>
                <w:b w:val="0"/>
                <w:bCs w:val="0"/>
                <w:i w:val="0"/>
                <w:iCs w:val="0"/>
                <w:smallCaps w:val="0"/>
                <w:color w:val="000000"/>
                <w:kern w:val="0"/>
                <w:sz w:val="32"/>
                <w:szCs w:val="32"/>
              </w:rPr>
            </w:pPr>
            <w:r>
              <w:rPr>
                <w:rFonts w:hint="default" w:ascii="Times New Roman" w:hAnsi="Times New Roman" w:eastAsia="黑体" w:cs="Times New Roman"/>
                <w:b w:val="0"/>
                <w:bCs w:val="0"/>
                <w:i w:val="0"/>
                <w:iCs w:val="0"/>
                <w:smallCaps w:val="0"/>
                <w:color w:val="000000"/>
                <w:kern w:val="0"/>
                <w:sz w:val="32"/>
                <w:szCs w:val="32"/>
              </w:rPr>
              <w:t>序号</w:t>
            </w:r>
          </w:p>
        </w:tc>
        <w:tc>
          <w:tcPr>
            <w:tcW w:w="2220" w:type="pct"/>
            <w:tcBorders>
              <w:left w:val="inset" w:color="808080" w:sz="6" w:space="0"/>
              <w:bottom w:val="inset" w:color="808080" w:sz="6" w:space="0"/>
              <w:right w:val="inset" w:color="808080" w:sz="6" w:space="0"/>
            </w:tcBorders>
            <w:noWrap w:val="0"/>
            <w:tcMar>
              <w:top w:w="22" w:type="dxa"/>
              <w:left w:w="22" w:type="dxa"/>
              <w:bottom w:w="22" w:type="dxa"/>
              <w:right w:w="22" w:type="dxa"/>
            </w:tcMar>
            <w:vAlign w:val="center"/>
          </w:tcPr>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Times New Roman" w:hAnsi="Times New Roman" w:eastAsia="黑体" w:cs="Times New Roman"/>
                <w:b w:val="0"/>
                <w:bCs w:val="0"/>
                <w:i w:val="0"/>
                <w:iCs w:val="0"/>
                <w:smallCaps w:val="0"/>
                <w:color w:val="000000"/>
                <w:kern w:val="0"/>
                <w:sz w:val="32"/>
                <w:szCs w:val="32"/>
              </w:rPr>
            </w:pPr>
            <w:r>
              <w:rPr>
                <w:rFonts w:hint="default" w:ascii="Times New Roman" w:hAnsi="Times New Roman" w:eastAsia="黑体" w:cs="Times New Roman"/>
                <w:b w:val="0"/>
                <w:bCs w:val="0"/>
                <w:i w:val="0"/>
                <w:iCs w:val="0"/>
                <w:smallCaps w:val="0"/>
                <w:color w:val="000000"/>
                <w:kern w:val="0"/>
                <w:sz w:val="32"/>
                <w:szCs w:val="32"/>
              </w:rPr>
              <w:t>单位名称</w:t>
            </w:r>
          </w:p>
        </w:tc>
        <w:tc>
          <w:tcPr>
            <w:tcW w:w="2214" w:type="pct"/>
            <w:tcBorders>
              <w:left w:val="inset" w:color="808080" w:sz="6" w:space="0"/>
              <w:bottom w:val="inset" w:color="808080" w:sz="6" w:space="0"/>
            </w:tcBorders>
            <w:noWrap w:val="0"/>
            <w:tcMar>
              <w:top w:w="22" w:type="dxa"/>
              <w:left w:w="22" w:type="dxa"/>
              <w:bottom w:w="22" w:type="dxa"/>
              <w:right w:w="22" w:type="dxa"/>
            </w:tcMar>
            <w:vAlign w:val="center"/>
          </w:tcPr>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Times New Roman" w:hAnsi="Times New Roman" w:eastAsia="黑体" w:cs="Times New Roman"/>
                <w:b w:val="0"/>
                <w:bCs w:val="0"/>
                <w:i w:val="0"/>
                <w:iCs w:val="0"/>
                <w:smallCaps w:val="0"/>
                <w:color w:val="000000"/>
                <w:kern w:val="0"/>
                <w:sz w:val="32"/>
                <w:szCs w:val="32"/>
              </w:rPr>
            </w:pPr>
            <w:r>
              <w:rPr>
                <w:rFonts w:hint="default" w:ascii="Times New Roman" w:hAnsi="Times New Roman" w:eastAsia="黑体" w:cs="Times New Roman"/>
                <w:b w:val="0"/>
                <w:bCs w:val="0"/>
                <w:i w:val="0"/>
                <w:iCs w:val="0"/>
                <w:smallCaps w:val="0"/>
                <w:color w:val="000000"/>
                <w:kern w:val="0"/>
                <w:sz w:val="32"/>
                <w:szCs w:val="32"/>
              </w:rPr>
              <w:t>单位性质</w:t>
            </w:r>
          </w:p>
        </w:tc>
      </w:tr>
      <w:tr>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trHeight w:val="625" w:hRule="atLeast"/>
          <w:jc w:val="center"/>
        </w:trPr>
        <w:tc>
          <w:tcPr>
            <w:tcW w:w="565" w:type="pct"/>
            <w:tcBorders>
              <w:top w:val="inset" w:color="808080" w:sz="6" w:space="0"/>
              <w:bottom w:val="inset" w:color="808080" w:sz="6" w:space="0"/>
              <w:right w:val="inset" w:color="808080" w:sz="6" w:space="0"/>
            </w:tcBorders>
            <w:noWrap w:val="0"/>
            <w:tcMar>
              <w:top w:w="22" w:type="dxa"/>
              <w:left w:w="22" w:type="dxa"/>
              <w:bottom w:w="22" w:type="dxa"/>
              <w:right w:w="22" w:type="dxa"/>
            </w:tcMar>
            <w:vAlign w:val="center"/>
          </w:tcPr>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Times New Roman" w:hAnsi="Times New Roman" w:eastAsia="方正仿宋_GB2312" w:cs="Times New Roman"/>
                <w:b w:val="0"/>
                <w:bCs w:val="0"/>
                <w:i w:val="0"/>
                <w:iCs w:val="0"/>
                <w:smallCaps w:val="0"/>
                <w:color w:val="000000"/>
                <w:kern w:val="0"/>
                <w:sz w:val="32"/>
                <w:szCs w:val="32"/>
              </w:rPr>
            </w:pPr>
            <w:r>
              <w:rPr>
                <w:rFonts w:hint="default" w:ascii="Times New Roman" w:hAnsi="Times New Roman" w:eastAsia="方正仿宋_GB2312" w:cs="Times New Roman"/>
                <w:b w:val="0"/>
                <w:bCs w:val="0"/>
                <w:i w:val="0"/>
                <w:iCs w:val="0"/>
                <w:smallCaps w:val="0"/>
                <w:color w:val="000000"/>
                <w:kern w:val="0"/>
                <w:sz w:val="32"/>
                <w:szCs w:val="32"/>
              </w:rPr>
              <w:t>1</w:t>
            </w:r>
          </w:p>
        </w:tc>
        <w:tc>
          <w:tcPr>
            <w:tcW w:w="2220" w:type="pct"/>
            <w:tcBorders>
              <w:top w:val="inset" w:color="808080" w:sz="6" w:space="0"/>
              <w:left w:val="inset" w:color="808080" w:sz="6" w:space="0"/>
              <w:bottom w:val="inset" w:color="808080" w:sz="6" w:space="0"/>
              <w:right w:val="inset" w:color="808080" w:sz="6" w:space="0"/>
            </w:tcBorders>
            <w:noWrap w:val="0"/>
            <w:tcMar>
              <w:top w:w="22" w:type="dxa"/>
              <w:left w:w="22" w:type="dxa"/>
              <w:bottom w:w="22" w:type="dxa"/>
              <w:right w:w="22" w:type="dxa"/>
            </w:tcMar>
            <w:vAlign w:val="center"/>
          </w:tcPr>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Times New Roman" w:hAnsi="Times New Roman" w:eastAsia="方正仿宋_GB2312" w:cs="Times New Roman"/>
                <w:b w:val="0"/>
                <w:bCs w:val="0"/>
                <w:i w:val="0"/>
                <w:iCs w:val="0"/>
                <w:smallCaps w:val="0"/>
                <w:color w:val="000000"/>
                <w:kern w:val="0"/>
                <w:sz w:val="32"/>
                <w:szCs w:val="32"/>
                <w:lang w:val="en-US" w:eastAsia="zh-CN"/>
              </w:rPr>
            </w:pPr>
            <w:r>
              <w:rPr>
                <w:rFonts w:hint="eastAsia" w:eastAsia="方正仿宋_GB2312" w:cs="Times New Roman"/>
                <w:b w:val="0"/>
                <w:bCs w:val="0"/>
                <w:i w:val="0"/>
                <w:iCs w:val="0"/>
                <w:smallCaps w:val="0"/>
                <w:color w:val="000000"/>
                <w:kern w:val="0"/>
                <w:sz w:val="32"/>
                <w:szCs w:val="32"/>
                <w:lang w:val="en-US" w:eastAsia="zh-CN"/>
              </w:rPr>
              <w:t>内蒙古大兴安岭森林公安局莫尔道嘎分局</w:t>
            </w:r>
          </w:p>
        </w:tc>
        <w:tc>
          <w:tcPr>
            <w:tcW w:w="2214" w:type="pct"/>
            <w:tcBorders>
              <w:top w:val="inset" w:color="808080" w:sz="6" w:space="0"/>
              <w:left w:val="inset" w:color="808080" w:sz="6" w:space="0"/>
              <w:bottom w:val="inset" w:color="808080" w:sz="6" w:space="0"/>
            </w:tcBorders>
            <w:noWrap w:val="0"/>
            <w:tcMar>
              <w:top w:w="22" w:type="dxa"/>
              <w:left w:w="22" w:type="dxa"/>
              <w:bottom w:w="22" w:type="dxa"/>
              <w:right w:w="22" w:type="dxa"/>
            </w:tcMar>
            <w:vAlign w:val="center"/>
          </w:tcPr>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Times New Roman" w:hAnsi="Times New Roman" w:eastAsia="方正仿宋_GB2312" w:cs="Times New Roman"/>
                <w:b w:val="0"/>
                <w:bCs w:val="0"/>
                <w:i w:val="0"/>
                <w:iCs w:val="0"/>
                <w:smallCaps w:val="0"/>
                <w:color w:val="000000"/>
                <w:kern w:val="0"/>
                <w:sz w:val="32"/>
                <w:szCs w:val="32"/>
              </w:rPr>
            </w:pPr>
            <w:r>
              <w:rPr>
                <w:rFonts w:hint="default" w:ascii="Times New Roman" w:hAnsi="Times New Roman" w:eastAsia="方正仿宋_GB2312" w:cs="Times New Roman"/>
                <w:b w:val="0"/>
                <w:bCs w:val="0"/>
                <w:i w:val="0"/>
                <w:iCs w:val="0"/>
                <w:smallCaps w:val="0"/>
                <w:color w:val="000000"/>
                <w:kern w:val="0"/>
                <w:sz w:val="32"/>
                <w:szCs w:val="32"/>
              </w:rPr>
              <w:t>财政拨款的行政单位</w:t>
            </w:r>
          </w:p>
        </w:tc>
      </w:tr>
    </w:tbl>
    <w:p>
      <w:pPr>
        <w:keepNext w:val="0"/>
        <w:keepLines w:val="0"/>
        <w:pageBreakBefore w:val="0"/>
        <w:widowControl w:val="0"/>
        <w:kinsoku/>
        <w:wordWrap/>
        <w:overflowPunct/>
        <w:topLinePunct w:val="0"/>
        <w:autoSpaceDE/>
        <w:autoSpaceDN/>
        <w:bidi w:val="0"/>
        <w:adjustRightInd/>
        <w:snapToGrid/>
        <w:spacing w:beforeAutospacing="0" w:afterAutospacing="0" w:line="560" w:lineRule="exact"/>
        <w:ind w:firstLine="640" w:firstLineChars="200"/>
        <w:jc w:val="both"/>
        <w:textAlignment w:val="auto"/>
        <w:rPr>
          <w:rFonts w:hint="eastAsia" w:ascii="黑体" w:hAnsi="黑体" w:eastAsia="黑体" w:cs="黑体"/>
          <w:b w:val="0"/>
          <w:bCs w:val="0"/>
          <w:kern w:val="0"/>
          <w:sz w:val="32"/>
          <w:szCs w:val="32"/>
        </w:rPr>
      </w:pPr>
      <w:r>
        <w:rPr>
          <w:rFonts w:hint="eastAsia" w:ascii="黑体" w:hAnsi="黑体" w:eastAsia="黑体" w:cs="黑体"/>
          <w:b w:val="0"/>
          <w:bCs w:val="0"/>
          <w:kern w:val="0"/>
          <w:sz w:val="32"/>
          <w:szCs w:val="32"/>
        </w:rPr>
        <w:t>三、202</w:t>
      </w:r>
      <w:r>
        <w:rPr>
          <w:rFonts w:hint="eastAsia" w:ascii="黑体" w:hAnsi="黑体" w:eastAsia="黑体" w:cs="黑体"/>
          <w:b w:val="0"/>
          <w:bCs w:val="0"/>
          <w:kern w:val="0"/>
          <w:sz w:val="32"/>
          <w:szCs w:val="32"/>
          <w:lang w:val="en-US" w:eastAsia="zh-CN"/>
        </w:rPr>
        <w:t>5</w:t>
      </w:r>
      <w:r>
        <w:rPr>
          <w:rFonts w:hint="eastAsia" w:ascii="黑体" w:hAnsi="黑体" w:eastAsia="黑体" w:cs="黑体"/>
          <w:b w:val="0"/>
          <w:bCs w:val="0"/>
          <w:kern w:val="0"/>
          <w:sz w:val="32"/>
          <w:szCs w:val="32"/>
        </w:rPr>
        <w:t>年度单位主要工作完成情况</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宋体" w:eastAsia="仿宋_GB2312"/>
          <w:b w:val="0"/>
          <w:bCs w:val="0"/>
          <w:sz w:val="32"/>
          <w:szCs w:val="32"/>
          <w:lang w:val="en-US" w:eastAsia="zh-CN"/>
        </w:rPr>
      </w:pPr>
      <w:r>
        <w:rPr>
          <w:rFonts w:hint="default" w:ascii="Times New Roman" w:hAnsi="Times New Roman" w:eastAsia="仿宋_GB2312" w:cs="Times New Roman"/>
          <w:b w:val="0"/>
          <w:bCs w:val="0"/>
          <w:sz w:val="32"/>
          <w:szCs w:val="32"/>
          <w:lang w:val="en-US" w:eastAsia="zh-CN"/>
        </w:rPr>
        <w:t>202</w:t>
      </w:r>
      <w:r>
        <w:rPr>
          <w:rFonts w:hint="eastAsia" w:eastAsia="仿宋_GB2312" w:cs="Times New Roman"/>
          <w:b w:val="0"/>
          <w:bCs w:val="0"/>
          <w:sz w:val="32"/>
          <w:szCs w:val="32"/>
          <w:lang w:val="en-US" w:eastAsia="zh-CN"/>
        </w:rPr>
        <w:t>5</w:t>
      </w:r>
      <w:r>
        <w:rPr>
          <w:rFonts w:hint="eastAsia" w:ascii="仿宋_GB2312" w:hAnsi="宋体" w:eastAsia="仿宋_GB2312"/>
          <w:b w:val="0"/>
          <w:bCs w:val="0"/>
          <w:sz w:val="32"/>
          <w:szCs w:val="32"/>
          <w:lang w:val="en-US" w:eastAsia="zh-CN"/>
        </w:rPr>
        <w:t>年内蒙古大兴安岭森林公安局莫尔道嘎分局</w:t>
      </w:r>
      <w:r>
        <w:rPr>
          <w:rFonts w:eastAsia="仿宋_GB2312"/>
          <w:sz w:val="32"/>
          <w:szCs w:val="32"/>
        </w:rPr>
        <w:t>认真贯彻落实内蒙古大兴安岭森林公安工作会议精神</w:t>
      </w:r>
      <w:r>
        <w:rPr>
          <w:rFonts w:hint="eastAsia" w:ascii="仿宋_GB2312" w:hAnsi="宋体" w:eastAsia="仿宋_GB2312"/>
          <w:b w:val="0"/>
          <w:bCs w:val="0"/>
          <w:sz w:val="32"/>
          <w:szCs w:val="32"/>
          <w:lang w:val="en-US" w:eastAsia="zh-CN"/>
        </w:rPr>
        <w:t>。筑牢政治忠诚，坚守立警根本，深耕主责主业，严厉打击各类违法犯罪行为；</w:t>
      </w:r>
      <w:r>
        <w:rPr>
          <w:rFonts w:eastAsia="仿宋_GB2312"/>
          <w:sz w:val="32"/>
          <w:szCs w:val="32"/>
        </w:rPr>
        <w:t>狠抓队伍管理，提升森林公安机关履职能力</w:t>
      </w:r>
      <w:r>
        <w:rPr>
          <w:rFonts w:hint="eastAsia" w:ascii="仿宋_GB2312" w:hAnsi="宋体" w:eastAsia="仿宋_GB2312"/>
          <w:b w:val="0"/>
          <w:bCs w:val="0"/>
          <w:sz w:val="32"/>
          <w:szCs w:val="32"/>
          <w:lang w:val="en-US" w:eastAsia="zh-CN"/>
        </w:rPr>
        <w:t>，带动主动警务、预防警务和智慧警务一体化推进；发挥警务工作站服务优势，化解群众矛盾纠纷，做强平安前哨；开展</w:t>
      </w:r>
      <w:r>
        <w:rPr>
          <w:rFonts w:eastAsia="仿宋_GB2312"/>
          <w:sz w:val="32"/>
          <w:szCs w:val="32"/>
        </w:rPr>
        <w:t>野生动植物的保护</w:t>
      </w:r>
      <w:r>
        <w:rPr>
          <w:rFonts w:hint="eastAsia" w:eastAsia="仿宋_GB2312"/>
          <w:sz w:val="32"/>
          <w:szCs w:val="32"/>
          <w:lang w:eastAsia="zh-CN"/>
        </w:rPr>
        <w:t>活动</w:t>
      </w:r>
      <w:r>
        <w:rPr>
          <w:rFonts w:eastAsia="仿宋_GB2312"/>
          <w:sz w:val="32"/>
          <w:szCs w:val="32"/>
        </w:rPr>
        <w:t>，查处破坏森林及野生动植物案件</w:t>
      </w:r>
      <w:r>
        <w:rPr>
          <w:rFonts w:hint="eastAsia" w:eastAsia="仿宋_GB2312"/>
          <w:sz w:val="32"/>
          <w:szCs w:val="32"/>
          <w:lang w:eastAsia="zh-CN"/>
        </w:rPr>
        <w:t>，</w:t>
      </w:r>
      <w:r>
        <w:rPr>
          <w:rFonts w:eastAsia="仿宋_GB2312"/>
          <w:sz w:val="32"/>
          <w:szCs w:val="32"/>
        </w:rPr>
        <w:t>切实维护辖区森林资源安全和社会治安稳定。</w:t>
      </w:r>
    </w:p>
    <w:p>
      <w:pPr>
        <w:keepNext w:val="0"/>
        <w:keepLines w:val="0"/>
        <w:pageBreakBefore w:val="0"/>
        <w:widowControl/>
        <w:suppressLineNumbers w:val="0"/>
        <w:kinsoku/>
        <w:wordWrap/>
        <w:overflowPunct/>
        <w:topLinePunct w:val="0"/>
        <w:autoSpaceDE/>
        <w:autoSpaceDN/>
        <w:bidi w:val="0"/>
        <w:adjustRightInd/>
        <w:snapToGrid/>
        <w:spacing w:beforeAutospacing="0" w:afterAutospacing="0" w:line="560" w:lineRule="exact"/>
        <w:ind w:right="0" w:firstLine="640" w:firstLineChars="200"/>
        <w:jc w:val="both"/>
        <w:textAlignment w:val="auto"/>
        <w:rPr>
          <w:rFonts w:hint="default" w:ascii="仿宋_GB2312" w:hAnsi="宋体" w:eastAsia="仿宋_GB2312"/>
          <w:b w:val="0"/>
          <w:bCs w:val="0"/>
          <w:sz w:val="32"/>
          <w:szCs w:val="32"/>
          <w:lang w:val="en-US" w:eastAsia="zh-CN"/>
        </w:rPr>
      </w:pPr>
    </w:p>
    <w:p>
      <w:pPr>
        <w:pStyle w:val="3"/>
        <w:keepNext w:val="0"/>
        <w:keepLines w:val="0"/>
        <w:pageBreakBefore w:val="0"/>
        <w:widowControl w:val="0"/>
        <w:kinsoku/>
        <w:wordWrap/>
        <w:overflowPunct/>
        <w:topLinePunct w:val="0"/>
        <w:autoSpaceDE/>
        <w:autoSpaceDN/>
        <w:bidi w:val="0"/>
        <w:adjustRightInd/>
        <w:snapToGrid/>
        <w:spacing w:before="0" w:after="0" w:line="560" w:lineRule="exact"/>
        <w:jc w:val="center"/>
        <w:textAlignment w:val="auto"/>
        <w:rPr>
          <w:rFonts w:hint="default" w:ascii="Times New Roman" w:hAnsi="Times New Roman" w:eastAsia="仿宋_GB2312" w:cs="Times New Roman"/>
        </w:rPr>
      </w:pPr>
      <w:r>
        <w:rPr>
          <w:rFonts w:hint="default" w:ascii="Times New Roman" w:hAnsi="Times New Roman" w:eastAsia="方正小标宋简体" w:cs="Times New Roman"/>
          <w:b w:val="0"/>
          <w:bCs w:val="0"/>
          <w:kern w:val="0"/>
          <w:sz w:val="44"/>
          <w:szCs w:val="44"/>
        </w:rPr>
        <w:t>第二部分 单位决算情况说明</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黑体" w:hAnsi="黑体" w:eastAsia="黑体" w:cs="黑体"/>
          <w:b w:val="0"/>
          <w:bCs w:val="0"/>
          <w:kern w:val="0"/>
          <w:sz w:val="32"/>
          <w:szCs w:val="32"/>
        </w:rPr>
      </w:pP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黑体" w:hAnsi="黑体" w:eastAsia="黑体" w:cs="黑体"/>
          <w:b w:val="0"/>
          <w:bCs w:val="0"/>
          <w:kern w:val="0"/>
          <w:sz w:val="32"/>
          <w:szCs w:val="32"/>
        </w:rPr>
      </w:pPr>
      <w:r>
        <w:rPr>
          <w:rFonts w:hint="eastAsia" w:ascii="黑体" w:hAnsi="黑体" w:eastAsia="黑体" w:cs="黑体"/>
          <w:b w:val="0"/>
          <w:bCs w:val="0"/>
          <w:kern w:val="0"/>
          <w:sz w:val="32"/>
          <w:szCs w:val="32"/>
        </w:rPr>
        <w:t>一、收入支出决算总体情况说明</w:t>
      </w:r>
    </w:p>
    <w:p>
      <w:pPr>
        <w:keepNext w:val="0"/>
        <w:keepLines w:val="0"/>
        <w:pageBreakBefore w:val="0"/>
        <w:widowControl/>
        <w:suppressLineNumbers w:val="0"/>
        <w:kinsoku/>
        <w:wordWrap/>
        <w:overflowPunct/>
        <w:topLinePunct w:val="0"/>
        <w:autoSpaceDE w:val="0"/>
        <w:autoSpaceDN/>
        <w:bidi w:val="0"/>
        <w:adjustRightInd/>
        <w:snapToGrid/>
        <w:spacing w:beforeAutospacing="0" w:afterAutospacing="0" w:line="560" w:lineRule="exact"/>
        <w:ind w:left="0" w:right="0"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u w:val="none"/>
        </w:rPr>
        <w:t>内蒙古</w:t>
      </w:r>
      <w:r>
        <w:rPr>
          <w:rFonts w:hint="eastAsia" w:eastAsia="仿宋_GB2312" w:cs="Times New Roman"/>
          <w:kern w:val="0"/>
          <w:sz w:val="32"/>
          <w:szCs w:val="32"/>
          <w:u w:val="none"/>
          <w:lang w:val="en-US" w:eastAsia="zh-CN"/>
        </w:rPr>
        <w:t>大兴安岭森林公安局莫尔道嘎分局</w:t>
      </w:r>
      <w:r>
        <w:rPr>
          <w:rFonts w:hint="default" w:eastAsia="仿宋_GB2312" w:cs="Times New Roman"/>
          <w:kern w:val="0"/>
          <w:sz w:val="32"/>
          <w:szCs w:val="32"/>
          <w:u w:val="none"/>
          <w:lang w:val="en-US" w:eastAsia="zh-CN"/>
        </w:rPr>
        <w:t>202</w:t>
      </w:r>
      <w:r>
        <w:rPr>
          <w:rFonts w:hint="eastAsia" w:eastAsia="仿宋_GB2312" w:cs="Times New Roman"/>
          <w:kern w:val="0"/>
          <w:sz w:val="32"/>
          <w:szCs w:val="32"/>
          <w:u w:val="none"/>
          <w:lang w:val="en-US" w:eastAsia="zh-CN"/>
        </w:rPr>
        <w:t>5</w:t>
      </w:r>
      <w:r>
        <w:rPr>
          <w:rFonts w:hint="default" w:eastAsia="仿宋_GB2312" w:cs="Times New Roman"/>
          <w:kern w:val="0"/>
          <w:sz w:val="32"/>
          <w:szCs w:val="32"/>
          <w:u w:val="none"/>
          <w:lang w:val="en-US" w:eastAsia="zh-CN"/>
        </w:rPr>
        <w:t>年</w:t>
      </w:r>
      <w:r>
        <w:rPr>
          <w:rFonts w:hint="default" w:ascii="Times New Roman" w:hAnsi="Times New Roman" w:eastAsia="仿宋_GB2312" w:cs="Times New Roman"/>
          <w:kern w:val="0"/>
          <w:sz w:val="32"/>
          <w:szCs w:val="32"/>
          <w:u w:val="none"/>
        </w:rPr>
        <w:t>度收入、支出决算总计</w:t>
      </w:r>
      <w:r>
        <w:rPr>
          <w:rFonts w:hint="eastAsia" w:eastAsia="仿宋_GB2312" w:cs="Times New Roman"/>
          <w:kern w:val="0"/>
          <w:sz w:val="32"/>
          <w:szCs w:val="32"/>
          <w:u w:val="none"/>
          <w:lang w:val="en-US" w:eastAsia="zh-CN"/>
        </w:rPr>
        <w:t>2,564.92</w:t>
      </w:r>
      <w:r>
        <w:rPr>
          <w:rFonts w:hint="default" w:ascii="Times New Roman" w:hAnsi="Times New Roman" w:eastAsia="仿宋_GB2312" w:cs="Times New Roman"/>
          <w:kern w:val="0"/>
          <w:sz w:val="32"/>
          <w:szCs w:val="32"/>
          <w:u w:val="none"/>
        </w:rPr>
        <w:t>万元</w:t>
      </w:r>
      <w:r>
        <w:rPr>
          <w:rFonts w:hint="eastAsia" w:eastAsia="仿宋_GB2312" w:cs="Times New Roman"/>
          <w:kern w:val="0"/>
          <w:sz w:val="32"/>
          <w:szCs w:val="32"/>
          <w:u w:val="none"/>
          <w:lang w:eastAsia="zh-CN"/>
        </w:rPr>
        <w:t>。</w:t>
      </w:r>
      <w:r>
        <w:rPr>
          <w:rFonts w:hint="default" w:ascii="Times New Roman" w:hAnsi="Times New Roman" w:eastAsia="仿宋_GB2312" w:cs="Times New Roman"/>
          <w:kern w:val="0"/>
          <w:sz w:val="32"/>
          <w:szCs w:val="32"/>
          <w:u w:val="none"/>
        </w:rPr>
        <w:t>与年初预算相比，收、支总计各</w:t>
      </w:r>
      <w:r>
        <w:rPr>
          <w:rFonts w:hint="eastAsia" w:eastAsia="仿宋_GB2312" w:cs="Times New Roman"/>
          <w:kern w:val="0"/>
          <w:sz w:val="32"/>
          <w:szCs w:val="32"/>
          <w:u w:val="none"/>
          <w:lang w:val="en-US" w:eastAsia="zh-CN"/>
        </w:rPr>
        <w:t>减少34.59</w:t>
      </w:r>
      <w:r>
        <w:rPr>
          <w:rFonts w:hint="default" w:ascii="Times New Roman" w:hAnsi="Times New Roman" w:eastAsia="仿宋_GB2312" w:cs="Times New Roman"/>
          <w:kern w:val="0"/>
          <w:sz w:val="32"/>
          <w:szCs w:val="32"/>
          <w:u w:val="none"/>
        </w:rPr>
        <w:t>万元，</w:t>
      </w:r>
      <w:r>
        <w:rPr>
          <w:rFonts w:hint="eastAsia" w:eastAsia="仿宋_GB2312" w:cs="Times New Roman"/>
          <w:kern w:val="0"/>
          <w:sz w:val="32"/>
          <w:szCs w:val="32"/>
          <w:u w:val="none"/>
          <w:lang w:val="en-US" w:eastAsia="zh-CN"/>
        </w:rPr>
        <w:t>下降1.33</w:t>
      </w:r>
      <w:r>
        <w:rPr>
          <w:rFonts w:hint="default" w:eastAsia="仿宋_GB2312" w:cs="Times New Roman"/>
          <w:kern w:val="0"/>
          <w:sz w:val="32"/>
          <w:szCs w:val="32"/>
          <w:u w:val="none"/>
          <w:lang w:val="en-US" w:eastAsia="zh-CN"/>
        </w:rPr>
        <w:t>%</w:t>
      </w:r>
      <w:r>
        <w:rPr>
          <w:rFonts w:hint="default" w:ascii="Times New Roman" w:hAnsi="Times New Roman" w:eastAsia="仿宋_GB2312" w:cs="Times New Roman"/>
          <w:kern w:val="0"/>
          <w:sz w:val="32"/>
          <w:szCs w:val="32"/>
          <w:u w:val="none"/>
        </w:rPr>
        <w:t>，</w:t>
      </w:r>
      <w:r>
        <w:rPr>
          <w:rFonts w:hint="eastAsia" w:ascii="仿宋_GB2312" w:hAnsi="仿宋_GB2312" w:eastAsia="仿宋_GB2312" w:cs="仿宋_GB2312"/>
          <w:color w:val="auto"/>
          <w:kern w:val="0"/>
          <w:sz w:val="32"/>
          <w:szCs w:val="32"/>
          <w:u w:val="none"/>
        </w:rPr>
        <w:t>变动原因</w:t>
      </w:r>
      <w:r>
        <w:rPr>
          <w:rFonts w:hint="eastAsia" w:ascii="仿宋_GB2312" w:hAnsi="仿宋_GB2312" w:eastAsia="仿宋_GB2312" w:cs="仿宋_GB2312"/>
          <w:color w:val="auto"/>
          <w:kern w:val="0"/>
          <w:sz w:val="32"/>
          <w:szCs w:val="32"/>
          <w:u w:val="none"/>
          <w:lang w:eastAsia="zh-CN"/>
        </w:rPr>
        <w:t>：</w:t>
      </w:r>
      <w:r>
        <w:rPr>
          <w:rFonts w:hint="eastAsia" w:eastAsia="仿宋_GB2312" w:cs="Times New Roman"/>
          <w:color w:val="auto"/>
          <w:kern w:val="0"/>
          <w:sz w:val="32"/>
          <w:szCs w:val="32"/>
          <w:lang w:val="en-US" w:eastAsia="zh-CN"/>
        </w:rPr>
        <w:t>因人员退休，工资、社保、公积金等人员支出低于年初预算</w:t>
      </w:r>
      <w:r>
        <w:rPr>
          <w:rFonts w:hint="default" w:ascii="Times New Roman" w:hAnsi="Times New Roman" w:eastAsia="仿宋_GB2312" w:cs="Times New Roman"/>
          <w:kern w:val="0"/>
          <w:sz w:val="32"/>
          <w:szCs w:val="32"/>
          <w:u w:val="none"/>
        </w:rPr>
        <w:t>；与上年决算相比，收、支总计各</w:t>
      </w:r>
      <w:r>
        <w:rPr>
          <w:rFonts w:hint="eastAsia" w:eastAsia="仿宋_GB2312" w:cs="Times New Roman"/>
          <w:kern w:val="0"/>
          <w:sz w:val="32"/>
          <w:szCs w:val="32"/>
          <w:u w:val="none"/>
          <w:lang w:eastAsia="zh-CN"/>
        </w:rPr>
        <w:t>增加</w:t>
      </w:r>
      <w:r>
        <w:rPr>
          <w:rFonts w:hint="eastAsia" w:eastAsia="仿宋_GB2312" w:cs="Times New Roman"/>
          <w:kern w:val="0"/>
          <w:sz w:val="32"/>
          <w:szCs w:val="32"/>
          <w:u w:val="none"/>
          <w:lang w:val="en-US" w:eastAsia="zh-CN"/>
        </w:rPr>
        <w:t>92.21</w:t>
      </w:r>
      <w:r>
        <w:rPr>
          <w:rFonts w:hint="default" w:ascii="Times New Roman" w:hAnsi="Times New Roman" w:eastAsia="仿宋_GB2312" w:cs="Times New Roman"/>
          <w:kern w:val="0"/>
          <w:sz w:val="32"/>
          <w:szCs w:val="32"/>
          <w:u w:val="none"/>
        </w:rPr>
        <w:t>万元，</w:t>
      </w:r>
      <w:r>
        <w:rPr>
          <w:rFonts w:hint="eastAsia" w:eastAsia="仿宋_GB2312" w:cs="Times New Roman"/>
          <w:kern w:val="0"/>
          <w:sz w:val="32"/>
          <w:szCs w:val="32"/>
          <w:u w:val="none"/>
          <w:lang w:eastAsia="zh-CN"/>
        </w:rPr>
        <w:t>增长</w:t>
      </w:r>
      <w:r>
        <w:rPr>
          <w:rFonts w:hint="eastAsia" w:eastAsia="仿宋_GB2312" w:cs="Times New Roman"/>
          <w:kern w:val="0"/>
          <w:sz w:val="32"/>
          <w:szCs w:val="32"/>
          <w:u w:val="none"/>
          <w:lang w:val="en-US" w:eastAsia="zh-CN"/>
        </w:rPr>
        <w:t>3.73%</w:t>
      </w:r>
      <w:r>
        <w:rPr>
          <w:rFonts w:hint="default" w:ascii="Times New Roman" w:hAnsi="Times New Roman" w:eastAsia="仿宋_GB2312" w:cs="Times New Roman"/>
          <w:kern w:val="0"/>
          <w:sz w:val="32"/>
          <w:szCs w:val="32"/>
          <w:u w:val="none"/>
          <w:lang w:val="en-US" w:eastAsia="zh-CN"/>
        </w:rPr>
        <w:t xml:space="preserve"> </w:t>
      </w:r>
      <w:r>
        <w:rPr>
          <w:rFonts w:hint="eastAsia" w:eastAsia="仿宋_GB2312" w:cs="Times New Roman"/>
          <w:kern w:val="0"/>
          <w:sz w:val="32"/>
          <w:szCs w:val="32"/>
          <w:u w:val="none"/>
          <w:lang w:val="en-US" w:eastAsia="zh-CN"/>
        </w:rPr>
        <w:t>。</w:t>
      </w:r>
      <w:r>
        <w:rPr>
          <w:rFonts w:hint="default" w:ascii="Times New Roman" w:hAnsi="Times New Roman" w:eastAsia="仿宋_GB2312" w:cs="Times New Roman"/>
          <w:kern w:val="0"/>
          <w:sz w:val="32"/>
          <w:szCs w:val="32"/>
          <w:u w:val="none"/>
        </w:rPr>
        <w:t>其中</w:t>
      </w:r>
      <w:r>
        <w:rPr>
          <w:rFonts w:hint="default" w:ascii="Times New Roman" w:hAnsi="Times New Roman" w:eastAsia="仿宋_GB2312" w:cs="Times New Roman"/>
          <w:kern w:val="0"/>
          <w:sz w:val="32"/>
          <w:szCs w:val="32"/>
        </w:rPr>
        <w:t>：</w:t>
      </w:r>
    </w:p>
    <w:p>
      <w:pPr>
        <w:keepNext w:val="0"/>
        <w:keepLines w:val="0"/>
        <w:pageBreakBefore w:val="0"/>
        <w:widowControl w:val="0"/>
        <w:numPr>
          <w:ilvl w:val="0"/>
          <w:numId w:val="2"/>
        </w:numPr>
        <w:kinsoku/>
        <w:wordWrap/>
        <w:overflowPunct/>
        <w:topLinePunct w:val="0"/>
        <w:autoSpaceDE/>
        <w:autoSpaceDN/>
        <w:bidi w:val="0"/>
        <w:adjustRightInd/>
        <w:snapToGrid/>
        <w:spacing w:beforeAutospacing="0" w:afterAutospacing="0" w:line="560" w:lineRule="exact"/>
        <w:ind w:firstLine="643" w:firstLineChars="200"/>
        <w:jc w:val="both"/>
        <w:textAlignment w:val="auto"/>
        <w:rPr>
          <w:rFonts w:hint="eastAsia"/>
        </w:rPr>
      </w:pPr>
      <w:r>
        <w:rPr>
          <w:rFonts w:hint="eastAsia" w:ascii="楷体_GB2312" w:hAnsi="楷体_GB2312" w:eastAsia="楷体_GB2312" w:cs="楷体_GB2312"/>
          <w:b/>
          <w:bCs/>
          <w:kern w:val="0"/>
          <w:sz w:val="32"/>
          <w:szCs w:val="32"/>
        </w:rPr>
        <w:t>收入决算总计</w:t>
      </w:r>
      <w:r>
        <w:rPr>
          <w:rFonts w:hint="default" w:ascii="Times New Roman" w:hAnsi="Times New Roman" w:eastAsia="楷体_GB2312" w:cs="Times New Roman"/>
          <w:b/>
          <w:bCs/>
          <w:kern w:val="0"/>
          <w:sz w:val="32"/>
          <w:szCs w:val="32"/>
          <w:lang w:val="en-US" w:eastAsia="zh-CN"/>
        </w:rPr>
        <w:t>2,</w:t>
      </w:r>
      <w:r>
        <w:rPr>
          <w:rFonts w:hint="eastAsia" w:eastAsia="楷体_GB2312" w:cs="Times New Roman"/>
          <w:b/>
          <w:bCs/>
          <w:kern w:val="0"/>
          <w:sz w:val="32"/>
          <w:szCs w:val="32"/>
          <w:lang w:val="en-US" w:eastAsia="zh-CN"/>
        </w:rPr>
        <w:t>564.92</w:t>
      </w:r>
      <w:r>
        <w:rPr>
          <w:rFonts w:hint="eastAsia" w:ascii="楷体_GB2312" w:hAnsi="楷体_GB2312" w:eastAsia="楷体_GB2312" w:cs="楷体_GB2312"/>
          <w:b/>
          <w:bCs/>
          <w:kern w:val="0"/>
          <w:sz w:val="32"/>
          <w:szCs w:val="32"/>
        </w:rPr>
        <w:t>万元。包括：</w:t>
      </w:r>
    </w:p>
    <w:p>
      <w:pPr>
        <w:keepNext w:val="0"/>
        <w:keepLines w:val="0"/>
        <w:pageBreakBefore w:val="0"/>
        <w:widowControl w:val="0"/>
        <w:kinsoku/>
        <w:wordWrap/>
        <w:overflowPunct/>
        <w:topLinePunct w:val="0"/>
        <w:autoSpaceDE/>
        <w:autoSpaceDN/>
        <w:bidi w:val="0"/>
        <w:adjustRightInd/>
        <w:snapToGrid/>
        <w:spacing w:beforeAutospacing="0" w:afterAutospacing="0" w:line="560" w:lineRule="exact"/>
        <w:ind w:firstLine="640" w:firstLineChars="200"/>
        <w:jc w:val="both"/>
        <w:textAlignment w:val="auto"/>
        <w:rPr>
          <w:rFonts w:hint="default" w:ascii="Times New Roman" w:hAnsi="Times New Roman" w:eastAsia="仿宋_GB2312" w:cs="Times New Roman"/>
          <w:color w:val="auto"/>
          <w:kern w:val="0"/>
          <w:sz w:val="32"/>
          <w:szCs w:val="32"/>
        </w:rPr>
      </w:pPr>
      <w:r>
        <w:rPr>
          <w:rFonts w:hint="default" w:ascii="Times New Roman" w:hAnsi="Times New Roman" w:eastAsia="仿宋_GB2312" w:cs="Times New Roman"/>
          <w:kern w:val="0"/>
          <w:sz w:val="32"/>
          <w:szCs w:val="32"/>
        </w:rPr>
        <w:t>1.本年收入决算合计</w:t>
      </w:r>
      <w:r>
        <w:rPr>
          <w:rFonts w:hint="eastAsia" w:eastAsia="仿宋_GB2312" w:cs="Times New Roman"/>
          <w:kern w:val="0"/>
          <w:sz w:val="32"/>
          <w:szCs w:val="32"/>
          <w:lang w:val="en-US" w:eastAsia="zh-CN"/>
        </w:rPr>
        <w:t>2,564.92</w:t>
      </w:r>
      <w:r>
        <w:rPr>
          <w:rFonts w:hint="default" w:ascii="Times New Roman" w:hAnsi="Times New Roman" w:eastAsia="仿宋_GB2312" w:cs="Times New Roman"/>
          <w:kern w:val="0"/>
          <w:sz w:val="32"/>
          <w:szCs w:val="32"/>
        </w:rPr>
        <w:t>万元。与上年决算相比，</w:t>
      </w:r>
      <w:r>
        <w:rPr>
          <w:rFonts w:hint="eastAsia" w:eastAsia="仿宋_GB2312" w:cs="Times New Roman"/>
          <w:kern w:val="0"/>
          <w:sz w:val="32"/>
          <w:szCs w:val="32"/>
          <w:lang w:eastAsia="zh-CN"/>
        </w:rPr>
        <w:t>增加</w:t>
      </w:r>
      <w:r>
        <w:rPr>
          <w:rFonts w:hint="eastAsia" w:eastAsia="仿宋_GB2312" w:cs="Times New Roman"/>
          <w:kern w:val="0"/>
          <w:sz w:val="32"/>
          <w:szCs w:val="32"/>
          <w:lang w:val="en-US" w:eastAsia="zh-CN"/>
        </w:rPr>
        <w:t>92.21</w:t>
      </w:r>
      <w:r>
        <w:rPr>
          <w:rFonts w:hint="default" w:ascii="Times New Roman" w:hAnsi="Times New Roman" w:eastAsia="仿宋_GB2312" w:cs="Times New Roman"/>
          <w:kern w:val="0"/>
          <w:sz w:val="32"/>
          <w:szCs w:val="32"/>
        </w:rPr>
        <w:t>万元，</w:t>
      </w:r>
      <w:r>
        <w:rPr>
          <w:rFonts w:hint="eastAsia" w:eastAsia="仿宋_GB2312" w:cs="Times New Roman"/>
          <w:kern w:val="0"/>
          <w:sz w:val="32"/>
          <w:szCs w:val="32"/>
          <w:lang w:eastAsia="zh-CN"/>
        </w:rPr>
        <w:t>增长</w:t>
      </w:r>
      <w:r>
        <w:rPr>
          <w:rFonts w:hint="eastAsia" w:eastAsia="仿宋_GB2312" w:cs="Times New Roman"/>
          <w:kern w:val="0"/>
          <w:sz w:val="32"/>
          <w:szCs w:val="32"/>
          <w:lang w:val="en-US" w:eastAsia="zh-CN"/>
        </w:rPr>
        <w:t>3.73</w:t>
      </w:r>
      <w:r>
        <w:rPr>
          <w:rFonts w:hint="default" w:ascii="Times New Roman" w:hAnsi="Times New Roman" w:eastAsia="仿宋_GB2312" w:cs="Times New Roman"/>
          <w:kern w:val="0"/>
          <w:sz w:val="32"/>
          <w:szCs w:val="32"/>
        </w:rPr>
        <w:t>%，</w:t>
      </w:r>
      <w:r>
        <w:rPr>
          <w:rFonts w:hint="default" w:ascii="Times New Roman" w:hAnsi="Times New Roman" w:eastAsia="仿宋_GB2312" w:cs="Times New Roman"/>
          <w:color w:val="auto"/>
          <w:kern w:val="0"/>
          <w:sz w:val="32"/>
          <w:szCs w:val="32"/>
        </w:rPr>
        <w:t>变动原因：</w:t>
      </w:r>
      <w:r>
        <w:rPr>
          <w:rFonts w:hint="eastAsia" w:eastAsia="仿宋_GB2312" w:cs="Times New Roman"/>
          <w:color w:val="auto"/>
          <w:kern w:val="0"/>
          <w:sz w:val="32"/>
          <w:szCs w:val="32"/>
          <w:lang w:val="en-US" w:eastAsia="zh-CN"/>
        </w:rPr>
        <w:t>新招录人员变动，人员经费和项目经费增加。</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eastAsia="仿宋_GB2312" w:cs="Times New Roman"/>
          <w:color w:val="auto"/>
          <w:kern w:val="0"/>
          <w:sz w:val="32"/>
          <w:szCs w:val="32"/>
          <w:lang w:val="en-US" w:eastAsia="zh-CN"/>
        </w:rPr>
      </w:pPr>
      <w:r>
        <w:rPr>
          <w:rFonts w:hint="default" w:ascii="Times New Roman" w:hAnsi="Times New Roman" w:eastAsia="仿宋_GB2312" w:cs="Times New Roman"/>
          <w:kern w:val="0"/>
          <w:sz w:val="32"/>
          <w:szCs w:val="32"/>
        </w:rPr>
        <w:t>2.使用非财政拨款结余和专用结余</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万元。与上年决算相比，增加</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万元，增长</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w:t>
      </w:r>
      <w:r>
        <w:rPr>
          <w:rFonts w:hint="eastAsia" w:eastAsia="仿宋_GB2312" w:cs="Times New Roman"/>
          <w:kern w:val="0"/>
          <w:sz w:val="32"/>
          <w:szCs w:val="32"/>
          <w:lang w:val="en-US" w:eastAsia="zh-CN"/>
        </w:rPr>
        <w:t>变动原因：</w:t>
      </w:r>
      <w:r>
        <w:rPr>
          <w:rFonts w:hint="eastAsia" w:eastAsia="仿宋_GB2312" w:cs="Times New Roman"/>
          <w:color w:val="auto"/>
          <w:kern w:val="0"/>
          <w:sz w:val="32"/>
          <w:szCs w:val="32"/>
          <w:lang w:val="en-US" w:eastAsia="zh-CN"/>
        </w:rPr>
        <w:t>不存在此项内容。</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rPr>
      </w:pPr>
      <w:r>
        <w:rPr>
          <w:rFonts w:hint="default" w:ascii="Times New Roman" w:hAnsi="Times New Roman" w:eastAsia="仿宋_GB2312" w:cs="Times New Roman"/>
          <w:kern w:val="0"/>
          <w:sz w:val="32"/>
          <w:szCs w:val="32"/>
        </w:rPr>
        <w:t>3.年初结转和结余</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万元。与上年决算相比，增加</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万元，增长</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w:t>
      </w:r>
      <w:r>
        <w:rPr>
          <w:rFonts w:hint="eastAsia" w:eastAsia="仿宋_GB2312" w:cs="Times New Roman"/>
          <w:kern w:val="0"/>
          <w:sz w:val="32"/>
          <w:szCs w:val="32"/>
          <w:lang w:val="en-US" w:eastAsia="zh-CN"/>
        </w:rPr>
        <w:t>变动原因：</w:t>
      </w:r>
      <w:r>
        <w:rPr>
          <w:rFonts w:hint="eastAsia" w:eastAsia="仿宋_GB2312" w:cs="Times New Roman"/>
          <w:color w:val="auto"/>
          <w:kern w:val="0"/>
          <w:sz w:val="32"/>
          <w:szCs w:val="32"/>
          <w:lang w:val="en-US" w:eastAsia="zh-CN"/>
        </w:rPr>
        <w:t>不存在此项内容。</w:t>
      </w:r>
    </w:p>
    <w:p>
      <w:pPr>
        <w:keepNext w:val="0"/>
        <w:keepLines w:val="0"/>
        <w:pageBreakBefore w:val="0"/>
        <w:widowControl w:val="0"/>
        <w:numPr>
          <w:ilvl w:val="0"/>
          <w:numId w:val="2"/>
        </w:numPr>
        <w:kinsoku/>
        <w:wordWrap/>
        <w:overflowPunct/>
        <w:topLinePunct w:val="0"/>
        <w:autoSpaceDE/>
        <w:autoSpaceDN/>
        <w:bidi w:val="0"/>
        <w:adjustRightInd/>
        <w:snapToGrid/>
        <w:spacing w:line="560" w:lineRule="exact"/>
        <w:ind w:left="0" w:leftChars="0" w:firstLine="643" w:firstLineChars="200"/>
        <w:jc w:val="both"/>
        <w:textAlignment w:val="auto"/>
        <w:rPr>
          <w:rFonts w:hint="eastAsia"/>
        </w:rPr>
      </w:pPr>
      <w:r>
        <w:rPr>
          <w:rFonts w:hint="eastAsia" w:ascii="楷体_GB2312" w:hAnsi="楷体_GB2312" w:eastAsia="楷体_GB2312" w:cs="楷体_GB2312"/>
          <w:b/>
          <w:bCs/>
          <w:kern w:val="0"/>
          <w:sz w:val="32"/>
          <w:szCs w:val="32"/>
        </w:rPr>
        <w:t>支出决算总计</w:t>
      </w:r>
      <w:r>
        <w:rPr>
          <w:rFonts w:hint="default" w:ascii="Times New Roman" w:hAnsi="Times New Roman" w:eastAsia="楷体_GB2312" w:cs="Times New Roman"/>
          <w:b/>
          <w:bCs/>
          <w:kern w:val="0"/>
          <w:sz w:val="32"/>
          <w:szCs w:val="32"/>
          <w:lang w:val="en-US" w:eastAsia="zh-CN"/>
        </w:rPr>
        <w:t>2,</w:t>
      </w:r>
      <w:r>
        <w:rPr>
          <w:rFonts w:hint="eastAsia" w:eastAsia="楷体_GB2312" w:cs="Times New Roman"/>
          <w:b/>
          <w:bCs/>
          <w:kern w:val="0"/>
          <w:sz w:val="32"/>
          <w:szCs w:val="32"/>
          <w:lang w:val="en-US" w:eastAsia="zh-CN"/>
        </w:rPr>
        <w:t>564.92</w:t>
      </w:r>
      <w:r>
        <w:rPr>
          <w:rFonts w:hint="eastAsia" w:ascii="楷体_GB2312" w:hAnsi="楷体_GB2312" w:eastAsia="楷体_GB2312" w:cs="楷体_GB2312"/>
          <w:b/>
          <w:bCs/>
          <w:kern w:val="0"/>
          <w:sz w:val="32"/>
          <w:szCs w:val="32"/>
        </w:rPr>
        <w:t>万元。包括：</w:t>
      </w:r>
    </w:p>
    <w:p>
      <w:pPr>
        <w:keepNext w:val="0"/>
        <w:keepLines w:val="0"/>
        <w:pageBreakBefore w:val="0"/>
        <w:widowControl w:val="0"/>
        <w:kinsoku/>
        <w:wordWrap/>
        <w:overflowPunct/>
        <w:topLinePunct w:val="0"/>
        <w:autoSpaceDE/>
        <w:autoSpaceDN/>
        <w:bidi w:val="0"/>
        <w:adjustRightInd/>
        <w:snapToGrid/>
        <w:spacing w:beforeAutospacing="0" w:afterAutospacing="0" w:line="560" w:lineRule="exact"/>
        <w:ind w:firstLine="640" w:firstLineChars="200"/>
        <w:jc w:val="both"/>
        <w:textAlignment w:val="auto"/>
        <w:rPr>
          <w:rFonts w:hint="default" w:ascii="Times New Roman" w:hAnsi="Times New Roman" w:eastAsia="仿宋_GB2312" w:cs="Times New Roman"/>
          <w:color w:val="auto"/>
          <w:kern w:val="0"/>
          <w:sz w:val="32"/>
          <w:szCs w:val="32"/>
        </w:rPr>
      </w:pPr>
      <w:r>
        <w:rPr>
          <w:rFonts w:hint="default" w:ascii="Times New Roman" w:hAnsi="Times New Roman" w:eastAsia="仿宋_GB2312" w:cs="Times New Roman"/>
          <w:kern w:val="0"/>
          <w:sz w:val="32"/>
          <w:szCs w:val="32"/>
        </w:rPr>
        <w:t>1.本年支出决算合计</w:t>
      </w:r>
      <w:r>
        <w:rPr>
          <w:rFonts w:hint="eastAsia" w:eastAsia="仿宋_GB2312" w:cs="Times New Roman"/>
          <w:kern w:val="0"/>
          <w:sz w:val="32"/>
          <w:szCs w:val="32"/>
          <w:lang w:val="en-US" w:eastAsia="zh-CN"/>
        </w:rPr>
        <w:t>2,564.92</w:t>
      </w:r>
      <w:r>
        <w:rPr>
          <w:rFonts w:hint="default" w:ascii="Times New Roman" w:hAnsi="Times New Roman" w:eastAsia="仿宋_GB2312" w:cs="Times New Roman"/>
          <w:kern w:val="0"/>
          <w:sz w:val="32"/>
          <w:szCs w:val="32"/>
        </w:rPr>
        <w:t>万元。与上年决算相比，</w:t>
      </w:r>
      <w:r>
        <w:rPr>
          <w:rFonts w:hint="eastAsia" w:eastAsia="仿宋_GB2312" w:cs="Times New Roman"/>
          <w:kern w:val="0"/>
          <w:sz w:val="32"/>
          <w:szCs w:val="32"/>
          <w:lang w:eastAsia="zh-CN"/>
        </w:rPr>
        <w:t>增加</w:t>
      </w:r>
      <w:r>
        <w:rPr>
          <w:rFonts w:hint="eastAsia" w:eastAsia="仿宋_GB2312" w:cs="Times New Roman"/>
          <w:kern w:val="0"/>
          <w:sz w:val="32"/>
          <w:szCs w:val="32"/>
          <w:lang w:val="en-US" w:eastAsia="zh-CN"/>
        </w:rPr>
        <w:t>92.21</w:t>
      </w:r>
      <w:r>
        <w:rPr>
          <w:rFonts w:hint="default" w:ascii="Times New Roman" w:hAnsi="Times New Roman" w:eastAsia="仿宋_GB2312" w:cs="Times New Roman"/>
          <w:kern w:val="0"/>
          <w:sz w:val="32"/>
          <w:szCs w:val="32"/>
        </w:rPr>
        <w:t>万元，</w:t>
      </w:r>
      <w:r>
        <w:rPr>
          <w:rFonts w:hint="eastAsia" w:eastAsia="仿宋_GB2312" w:cs="Times New Roman"/>
          <w:kern w:val="0"/>
          <w:sz w:val="32"/>
          <w:szCs w:val="32"/>
          <w:lang w:eastAsia="zh-CN"/>
        </w:rPr>
        <w:t>增长</w:t>
      </w:r>
      <w:r>
        <w:rPr>
          <w:rFonts w:hint="eastAsia" w:eastAsia="仿宋_GB2312" w:cs="Times New Roman"/>
          <w:kern w:val="0"/>
          <w:sz w:val="32"/>
          <w:szCs w:val="32"/>
          <w:lang w:val="en-US" w:eastAsia="zh-CN"/>
        </w:rPr>
        <w:t>3.73</w:t>
      </w:r>
      <w:r>
        <w:rPr>
          <w:rFonts w:hint="default" w:ascii="Times New Roman" w:hAnsi="Times New Roman" w:eastAsia="仿宋_GB2312" w:cs="Times New Roman"/>
          <w:kern w:val="0"/>
          <w:sz w:val="32"/>
          <w:szCs w:val="32"/>
        </w:rPr>
        <w:t>%，</w:t>
      </w:r>
      <w:r>
        <w:rPr>
          <w:rFonts w:hint="default" w:ascii="Times New Roman" w:hAnsi="Times New Roman" w:eastAsia="仿宋_GB2312" w:cs="Times New Roman"/>
          <w:color w:val="auto"/>
          <w:kern w:val="0"/>
          <w:sz w:val="32"/>
          <w:szCs w:val="32"/>
        </w:rPr>
        <w:t>变动原因：</w:t>
      </w:r>
      <w:r>
        <w:rPr>
          <w:rFonts w:hint="eastAsia" w:eastAsia="仿宋_GB2312" w:cs="Times New Roman"/>
          <w:color w:val="auto"/>
          <w:kern w:val="0"/>
          <w:sz w:val="32"/>
          <w:szCs w:val="32"/>
          <w:lang w:val="en-US" w:eastAsia="zh-CN"/>
        </w:rPr>
        <w:t>新招录人员变动，人员经费和项目经费增加。</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2.结余分配</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万元。与上年决算相比，增加</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万元，增长</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%，变动原因：</w:t>
      </w:r>
      <w:r>
        <w:rPr>
          <w:rFonts w:hint="eastAsia" w:eastAsia="仿宋_GB2312" w:cs="Times New Roman"/>
          <w:kern w:val="0"/>
          <w:sz w:val="32"/>
          <w:szCs w:val="32"/>
          <w:lang w:val="en-US" w:eastAsia="zh-CN"/>
        </w:rPr>
        <w:t>不存在此项内容</w:t>
      </w:r>
      <w:r>
        <w:rPr>
          <w:rFonts w:hint="default" w:ascii="Times New Roman" w:hAnsi="Times New Roman" w:eastAsia="仿宋_GB2312" w:cs="Times New Roman"/>
          <w:kern w:val="0"/>
          <w:sz w:val="32"/>
          <w:szCs w:val="32"/>
        </w:rPr>
        <w:t>。</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rPr>
      </w:pPr>
      <w:r>
        <w:rPr>
          <w:rFonts w:hint="default" w:ascii="Times New Roman" w:hAnsi="Times New Roman" w:eastAsia="仿宋_GB2312" w:cs="Times New Roman"/>
          <w:kern w:val="0"/>
          <w:sz w:val="32"/>
          <w:szCs w:val="32"/>
        </w:rPr>
        <w:t>3.年末结转和结余</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万元。与上年决算相比，减少</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w:t>
      </w:r>
      <w:r>
        <w:rPr>
          <w:rFonts w:hint="eastAsia" w:eastAsia="仿宋_GB2312" w:cs="Times New Roman"/>
          <w:kern w:val="0"/>
          <w:sz w:val="32"/>
          <w:szCs w:val="32"/>
          <w:lang w:val="en-US" w:eastAsia="zh-CN"/>
        </w:rPr>
        <w:t>下降0.00</w:t>
      </w:r>
      <w:r>
        <w:rPr>
          <w:rFonts w:hint="default" w:ascii="Times New Roman" w:hAnsi="Times New Roman" w:eastAsia="仿宋_GB2312" w:cs="Times New Roman"/>
          <w:kern w:val="0"/>
          <w:sz w:val="32"/>
          <w:szCs w:val="32"/>
        </w:rPr>
        <w:t>%，变动原因：</w:t>
      </w:r>
      <w:r>
        <w:rPr>
          <w:rFonts w:hint="eastAsia" w:eastAsia="仿宋_GB2312" w:cs="Times New Roman"/>
          <w:kern w:val="0"/>
          <w:sz w:val="32"/>
          <w:szCs w:val="32"/>
          <w:lang w:val="en-US" w:eastAsia="zh-CN"/>
        </w:rPr>
        <w:t>不存在此项内容</w:t>
      </w:r>
      <w:r>
        <w:rPr>
          <w:rFonts w:hint="default" w:ascii="Times New Roman" w:hAnsi="Times New Roman" w:eastAsia="仿宋_GB2312" w:cs="Times New Roman"/>
          <w:kern w:val="0"/>
          <w:sz w:val="32"/>
          <w:szCs w:val="32"/>
        </w:rPr>
        <w:t>。</w:t>
      </w:r>
    </w:p>
    <w:p>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firstLine="640" w:firstLineChars="200"/>
        <w:jc w:val="both"/>
        <w:textAlignment w:val="auto"/>
        <w:rPr>
          <w:rFonts w:hint="eastAsia"/>
          <w:sz w:val="32"/>
          <w:szCs w:val="32"/>
        </w:rPr>
      </w:pPr>
      <w:r>
        <w:rPr>
          <w:rFonts w:hint="eastAsia" w:ascii="黑体" w:hAnsi="黑体" w:eastAsia="黑体" w:cs="黑体"/>
          <w:b w:val="0"/>
          <w:bCs w:val="0"/>
          <w:kern w:val="0"/>
          <w:sz w:val="32"/>
          <w:szCs w:val="32"/>
        </w:rPr>
        <w:t>收入决算情况说明</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内蒙古</w:t>
      </w:r>
      <w:r>
        <w:rPr>
          <w:rFonts w:hint="eastAsia" w:eastAsia="仿宋_GB2312" w:cs="Times New Roman"/>
          <w:kern w:val="0"/>
          <w:sz w:val="32"/>
          <w:szCs w:val="32"/>
          <w:lang w:val="en-US" w:eastAsia="zh-CN"/>
        </w:rPr>
        <w:t>大兴安岭森林公安局莫尔道嘎分</w:t>
      </w:r>
      <w:r>
        <w:rPr>
          <w:rFonts w:hint="eastAsia" w:ascii="Times New Roman" w:hAnsi="Times New Roman" w:eastAsia="仿宋_GB2312" w:cs="Times New Roman"/>
          <w:kern w:val="0"/>
          <w:sz w:val="32"/>
          <w:szCs w:val="32"/>
          <w:lang w:val="en-US" w:eastAsia="zh-CN"/>
        </w:rPr>
        <w:t>局</w:t>
      </w:r>
      <w:r>
        <w:rPr>
          <w:rFonts w:hint="default" w:ascii="Times New Roman" w:hAnsi="Times New Roman" w:eastAsia="仿宋_GB2312" w:cs="Times New Roman"/>
          <w:kern w:val="0"/>
          <w:sz w:val="32"/>
          <w:szCs w:val="32"/>
        </w:rPr>
        <w:t>202</w:t>
      </w:r>
      <w:r>
        <w:rPr>
          <w:rFonts w:hint="eastAsia" w:eastAsia="仿宋_GB2312" w:cs="Times New Roman"/>
          <w:kern w:val="0"/>
          <w:sz w:val="32"/>
          <w:szCs w:val="32"/>
          <w:lang w:val="en-US" w:eastAsia="zh-CN"/>
        </w:rPr>
        <w:t>5</w:t>
      </w:r>
      <w:r>
        <w:rPr>
          <w:rFonts w:hint="default" w:ascii="Times New Roman" w:hAnsi="Times New Roman" w:eastAsia="仿宋_GB2312" w:cs="Times New Roman"/>
          <w:kern w:val="0"/>
          <w:sz w:val="32"/>
          <w:szCs w:val="32"/>
        </w:rPr>
        <w:t>年度本年收入决算合计</w:t>
      </w:r>
      <w:r>
        <w:rPr>
          <w:rFonts w:hint="eastAsia" w:eastAsia="仿宋_GB2312" w:cs="Times New Roman"/>
          <w:kern w:val="0"/>
          <w:sz w:val="32"/>
          <w:szCs w:val="32"/>
          <w:lang w:val="en-US" w:eastAsia="zh-CN"/>
        </w:rPr>
        <w:t>2,564.92</w:t>
      </w:r>
      <w:r>
        <w:rPr>
          <w:rFonts w:hint="default" w:ascii="Times New Roman" w:hAnsi="Times New Roman" w:eastAsia="仿宋_GB2312" w:cs="Times New Roman"/>
          <w:kern w:val="0"/>
          <w:sz w:val="32"/>
          <w:szCs w:val="32"/>
        </w:rPr>
        <w:t>万元，其中：</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本年一般公共预算财政拨款收入</w:t>
      </w:r>
      <w:r>
        <w:rPr>
          <w:rFonts w:hint="eastAsia" w:eastAsia="仿宋_GB2312" w:cs="Times New Roman"/>
          <w:kern w:val="0"/>
          <w:sz w:val="32"/>
          <w:szCs w:val="32"/>
          <w:lang w:val="en-US" w:eastAsia="zh-CN"/>
        </w:rPr>
        <w:t>2,564.92</w:t>
      </w:r>
      <w:r>
        <w:rPr>
          <w:rFonts w:hint="default" w:ascii="Times New Roman" w:hAnsi="Times New Roman" w:eastAsia="仿宋_GB2312" w:cs="Times New Roman"/>
          <w:kern w:val="0"/>
          <w:sz w:val="32"/>
          <w:szCs w:val="32"/>
        </w:rPr>
        <w:t>万元，占</w:t>
      </w:r>
      <w:r>
        <w:rPr>
          <w:rFonts w:hint="eastAsia" w:eastAsia="仿宋_GB2312" w:cs="Times New Roman"/>
          <w:kern w:val="0"/>
          <w:sz w:val="32"/>
          <w:szCs w:val="32"/>
          <w:lang w:val="en-US" w:eastAsia="zh-CN"/>
        </w:rPr>
        <w:t>100.00</w:t>
      </w:r>
      <w:r>
        <w:rPr>
          <w:rFonts w:hint="default" w:ascii="Times New Roman" w:hAnsi="Times New Roman" w:eastAsia="仿宋_GB2312" w:cs="Times New Roman"/>
          <w:kern w:val="0"/>
          <w:sz w:val="32"/>
          <w:szCs w:val="32"/>
        </w:rPr>
        <w:t>%；</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本年政府性基金预算财政拨款收入</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万元，占</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本年国有资本经营预算财政拨款收入</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万元，占</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本年上级补助收入</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万元，占</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本年事业收入</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万元，占</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本年经营收入</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万元，占</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本年附属单位上缴收入</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万元，占</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本年其他收入</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万元，占</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w:t>
      </w:r>
    </w:p>
    <w:p>
      <w:pPr>
        <w:pStyle w:val="21"/>
        <w:keepNext w:val="0"/>
        <w:keepLines w:val="0"/>
        <w:pageBreakBefore w:val="0"/>
        <w:kinsoku/>
        <w:wordWrap/>
        <w:overflowPunct/>
        <w:topLinePunct w:val="0"/>
        <w:autoSpaceDN/>
        <w:bidi w:val="0"/>
        <w:adjustRightInd/>
        <w:spacing w:line="240" w:lineRule="auto"/>
        <w:ind w:left="0" w:leftChars="0" w:firstLine="0" w:firstLineChars="0"/>
        <w:jc w:val="center"/>
        <w:textAlignment w:val="auto"/>
        <w:rPr>
          <w:rFonts w:hint="eastAsia" w:ascii="宋体" w:hAnsi="宋体" w:eastAsia="宋体" w:cs="宋体"/>
          <w:kern w:val="0"/>
          <w:sz w:val="24"/>
          <w:szCs w:val="24"/>
          <w:lang w:eastAsia="zh-CN"/>
        </w:rPr>
      </w:pPr>
      <w:r>
        <w:rPr>
          <w:sz w:val="24"/>
        </w:rPr>
        <mc:AlternateContent>
          <mc:Choice Requires="wps">
            <w:drawing>
              <wp:anchor distT="0" distB="0" distL="114300" distR="114300" simplePos="0" relativeHeight="251659264" behindDoc="0" locked="0" layoutInCell="1" allowOverlap="1">
                <wp:simplePos x="0" y="0"/>
                <wp:positionH relativeFrom="column">
                  <wp:posOffset>2304415</wp:posOffset>
                </wp:positionH>
                <wp:positionV relativeFrom="paragraph">
                  <wp:posOffset>165735</wp:posOffset>
                </wp:positionV>
                <wp:extent cx="1513205" cy="464820"/>
                <wp:effectExtent l="4445" t="4445" r="6350" b="6985"/>
                <wp:wrapNone/>
                <wp:docPr id="2" name="文本框 2"/>
                <wp:cNvGraphicFramePr/>
                <a:graphic xmlns:a="http://schemas.openxmlformats.org/drawingml/2006/main">
                  <a:graphicData uri="http://schemas.microsoft.com/office/word/2010/wordprocessingShape">
                    <wps:wsp>
                      <wps:cNvSpPr txBox="1"/>
                      <wps:spPr>
                        <a:xfrm>
                          <a:off x="2992120" y="1080135"/>
                          <a:ext cx="1513205" cy="464820"/>
                        </a:xfrm>
                        <a:prstGeom prst="rect">
                          <a:avLst/>
                        </a:prstGeom>
                        <a:solidFill>
                          <a:schemeClr val="lt1"/>
                        </a:solidFill>
                        <a:ln w="6350">
                          <a:solidFill>
                            <a:schemeClr val="bg1"/>
                          </a:solidFill>
                        </a:ln>
                      </wps:spPr>
                      <wps:style>
                        <a:lnRef idx="0">
                          <a:schemeClr val="accent1"/>
                        </a:lnRef>
                        <a:fillRef idx="0">
                          <a:schemeClr val="accent1"/>
                        </a:fillRef>
                        <a:effectRef idx="0">
                          <a:schemeClr val="accent1"/>
                        </a:effectRef>
                        <a:fontRef idx="minor">
                          <a:schemeClr val="dk1"/>
                        </a:fontRef>
                      </wps:style>
                      <wps:txbx>
                        <w:txbxContent>
                          <w:p>
                            <w:pPr>
                              <w:jc w:val="center"/>
                              <w:rPr>
                                <w:rFonts w:hint="eastAsia" w:ascii="黑体" w:hAnsi="黑体" w:eastAsia="黑体" w:cs="黑体"/>
                                <w:sz w:val="28"/>
                                <w:szCs w:val="36"/>
                                <w:lang w:val="en-US" w:eastAsia="zh-CN"/>
                              </w:rPr>
                            </w:pPr>
                            <w:r>
                              <w:rPr>
                                <w:rFonts w:hint="eastAsia" w:ascii="黑体" w:hAnsi="黑体" w:eastAsia="黑体" w:cs="黑体"/>
                                <w:sz w:val="28"/>
                                <w:szCs w:val="36"/>
                                <w:lang w:val="en-US" w:eastAsia="zh-CN"/>
                              </w:rPr>
                              <w:t>收入决算图</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81.45pt;margin-top:13.05pt;height:36.6pt;width:119.15pt;z-index:251659264;mso-width-relative:page;mso-height-relative:page;" fillcolor="#FFFFFF [3201]" filled="t" stroked="t" coordsize="21600,21600" o:gfxdata="UEsDBAoAAAAAAIdO4kAAAAAAAAAAAAAAAAAEAAAAZHJzL1BLAwQUAAAACACHTuJAFuCEFNcAAAAJ&#10;AQAADwAAAGRycy9kb3ducmV2LnhtbE2PQU+EMBCF7yb+h2ZMvLkFNhJAhj2YeDMmrK567NJZINIp&#10;Swus/9560uPkfXnvm3J3MYNYaHK9ZYR4E4EgbqzuuUV4e326y0A4r1irwTIhfJODXXV9VapC25Vr&#10;Wva+FaGEXaEQOu/HQkrXdGSU29iROGQnOxnlwzm1Uk9qDeVmkEkUpdKonsNCp0Z67Kj52s8G4WWZ&#10;7aF9v28++HOtXXY618/ZGfH2Jo4eQHi6+D8YfvWDOlTB6Whn1k4MCNs0yQOKkKQxiACkUZyAOCLk&#10;+RZkVcr/H1Q/UEsDBBQAAAAIAIdO4kBNjs60XAIAAMQEAAAOAAAAZHJzL2Uyb0RvYy54bWytVM1u&#10;EzEQviPxDpbvdH+alDTqpgqtgpAqWqkgzo7Xm7Vke4ztZLc8ALxBT1y481x9DsbeTf/g0AM5OGPP&#10;p29mvpnZk9NeK7ITzkswFS0OckqE4VBLs6no50+rNzNKfGCmZgqMqOiN8PR08frVSWfnooQWVC0c&#10;QRLj552taBuCnWeZ563QzB+AFQadDTjNAl7dJqsd65Bdq6zM86OsA1dbB1x4j6/ng5OOjO4lhNA0&#10;kotz4FstTBhYnVAsYEm+ldbTRcq2aQQPl03jRSCqolhpSCcGQXsdz2xxwuYbx2wr+ZgCe0kKz2rS&#10;TBoMek91zgIjWyf/otKSO/DQhAMOOhsKSYpgFUX+TJvrllmRakGpvb0X3f8/Wv5xd+WIrCtaUmKY&#10;xobf3f64+/n77td3UkZ5OuvniLq2iAv9O+hxaPbvHh9j1X3jdPzHegj6y+PjsihR4hvE5rO8OJwO&#10;Qos+EB4JpsVhmU8p4YiYHE1mCMZQ2QOTdT68F6BJNCrqsJFJX7a78GGA7iExsAcl65VUKl3cZn2m&#10;HNkxbPoq/Ub2JzBlSFfRo8Npnpif+PxLKDBdZTDrqNCgRLRCv+5H2dZQ36BqDoax85avJJZzwXy4&#10;Yg7nDCXCTQyXeDQKMBsYLUpacN/+9R7x2H70UtLh3FbUf90yJyhRHwwOxnExmcRBT5fJ9G1sg3vs&#10;WT/2mK0+A1SpwJ23PJkRH9TebBzoL7iwyxgVXcxwjF3RsDfPwrBNuPBcLJcJhKNtWbgw15ZH6tgT&#10;A8ttgEam3kWZBm1G9XC4U/fHRYzb8/ieUA8fn8U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FuCE&#10;FNcAAAAJAQAADwAAAAAAAAABACAAAAAiAAAAZHJzL2Rvd25yZXYueG1sUEsBAhQAFAAAAAgAh07i&#10;QE2OzrRcAgAAxAQAAA4AAAAAAAAAAQAgAAAAJgEAAGRycy9lMm9Eb2MueG1sUEsFBgAAAAAGAAYA&#10;WQEAAPQFAAAAAA==&#10;">
                <v:fill on="t" focussize="0,0"/>
                <v:stroke weight="0.5pt" color="#FFFFFF [3212]" joinstyle="round"/>
                <v:imagedata o:title=""/>
                <o:lock v:ext="edit" aspectratio="f"/>
                <v:textbox>
                  <w:txbxContent>
                    <w:p>
                      <w:pPr>
                        <w:jc w:val="center"/>
                        <w:rPr>
                          <w:rFonts w:hint="eastAsia" w:ascii="黑体" w:hAnsi="黑体" w:eastAsia="黑体" w:cs="黑体"/>
                          <w:sz w:val="28"/>
                          <w:szCs w:val="36"/>
                          <w:lang w:val="en-US" w:eastAsia="zh-CN"/>
                        </w:rPr>
                      </w:pPr>
                      <w:r>
                        <w:rPr>
                          <w:rFonts w:hint="eastAsia" w:ascii="黑体" w:hAnsi="黑体" w:eastAsia="黑体" w:cs="黑体"/>
                          <w:sz w:val="28"/>
                          <w:szCs w:val="36"/>
                          <w:lang w:val="en-US" w:eastAsia="zh-CN"/>
                        </w:rPr>
                        <w:t>收入决算图</w:t>
                      </w:r>
                    </w:p>
                  </w:txbxContent>
                </v:textbox>
              </v:shape>
            </w:pict>
          </mc:Fallback>
        </mc:AlternateContent>
      </w:r>
      <w:r>
        <w:rPr>
          <w:rFonts w:hint="eastAsia" w:ascii="宋体" w:hAnsi="宋体" w:eastAsia="宋体" w:cs="宋体"/>
          <w:kern w:val="0"/>
          <w:sz w:val="24"/>
          <w:szCs w:val="24"/>
          <w:lang w:eastAsia="zh-CN"/>
        </w:rPr>
        <w:drawing>
          <wp:inline distT="0" distB="0" distL="114300" distR="114300">
            <wp:extent cx="5076190" cy="3344545"/>
            <wp:effectExtent l="0" t="0" r="10160" b="8255"/>
            <wp:docPr id="3" name="图片 3" descr="C:/Users/Administrator/Desktop/002.png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Administrator/Desktop/002.png002"/>
                    <pic:cNvPicPr>
                      <a:picLocks noChangeAspect="1"/>
                    </pic:cNvPicPr>
                  </pic:nvPicPr>
                  <pic:blipFill>
                    <a:blip r:embed="rId5"/>
                    <a:srcRect t="8333" b="8333"/>
                    <a:stretch>
                      <a:fillRect/>
                    </a:stretch>
                  </pic:blipFill>
                  <pic:spPr>
                    <a:xfrm>
                      <a:off x="0" y="0"/>
                      <a:ext cx="5076190" cy="3344545"/>
                    </a:xfrm>
                    <a:prstGeom prst="rect">
                      <a:avLst/>
                    </a:prstGeom>
                  </pic:spPr>
                </pic:pic>
              </a:graphicData>
            </a:graphic>
          </wp:inline>
        </w:drawing>
      </w:r>
    </w:p>
    <w:p>
      <w:pPr>
        <w:pStyle w:val="21"/>
        <w:keepNext w:val="0"/>
        <w:keepLines w:val="0"/>
        <w:pageBreakBefore w:val="0"/>
        <w:kinsoku/>
        <w:wordWrap/>
        <w:overflowPunct/>
        <w:topLinePunct w:val="0"/>
        <w:autoSpaceDN/>
        <w:bidi w:val="0"/>
        <w:adjustRightInd/>
        <w:spacing w:line="240" w:lineRule="auto"/>
        <w:ind w:left="0" w:leftChars="0" w:firstLine="0" w:firstLineChars="0"/>
        <w:jc w:val="center"/>
        <w:textAlignment w:val="auto"/>
        <w:rPr>
          <w:rFonts w:hint="eastAsia" w:ascii="仿宋_GB2312" w:hAnsi="仿宋_GB2312" w:eastAsia="仿宋_GB2312" w:cs="仿宋_GB2312"/>
          <w:b/>
          <w:bCs/>
          <w:kern w:val="0"/>
          <w:sz w:val="32"/>
          <w:szCs w:val="32"/>
          <w:lang w:val="en-US" w:eastAsia="zh-CN"/>
        </w:rPr>
      </w:pPr>
      <w:r>
        <w:rPr>
          <w:rFonts w:hint="eastAsia" w:ascii="仿宋_GB2312" w:hAnsi="仿宋_GB2312" w:eastAsia="仿宋_GB2312" w:cs="仿宋_GB2312"/>
          <w:b/>
          <w:bCs/>
          <w:kern w:val="0"/>
          <w:sz w:val="32"/>
          <w:szCs w:val="32"/>
        </w:rPr>
        <w:t>图1.收入决算图</w:t>
      </w:r>
    </w:p>
    <w:p>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640" w:firstLineChars="200"/>
        <w:jc w:val="both"/>
        <w:textAlignment w:val="auto"/>
        <w:rPr>
          <w:rFonts w:hint="eastAsia"/>
        </w:rPr>
      </w:pPr>
      <w:r>
        <w:rPr>
          <w:rFonts w:hint="eastAsia" w:ascii="黑体" w:hAnsi="黑体" w:eastAsia="黑体" w:cs="黑体"/>
          <w:b w:val="0"/>
          <w:bCs w:val="0"/>
          <w:kern w:val="0"/>
          <w:sz w:val="32"/>
          <w:szCs w:val="32"/>
        </w:rPr>
        <w:t>支出决算情况说明</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内蒙古</w:t>
      </w:r>
      <w:r>
        <w:rPr>
          <w:rFonts w:hint="eastAsia" w:eastAsia="仿宋_GB2312" w:cs="Times New Roman"/>
          <w:kern w:val="0"/>
          <w:sz w:val="32"/>
          <w:szCs w:val="32"/>
          <w:lang w:val="en-US" w:eastAsia="zh-CN"/>
        </w:rPr>
        <w:t>大兴安岭森林公安局莫尔道嘎分局</w:t>
      </w:r>
      <w:r>
        <w:rPr>
          <w:rFonts w:hint="default" w:ascii="Times New Roman" w:hAnsi="Times New Roman" w:eastAsia="仿宋_GB2312" w:cs="Times New Roman"/>
          <w:kern w:val="0"/>
          <w:sz w:val="32"/>
          <w:szCs w:val="32"/>
        </w:rPr>
        <w:t>202</w:t>
      </w:r>
      <w:r>
        <w:rPr>
          <w:rFonts w:hint="eastAsia" w:eastAsia="仿宋_GB2312" w:cs="Times New Roman"/>
          <w:kern w:val="0"/>
          <w:sz w:val="32"/>
          <w:szCs w:val="32"/>
          <w:lang w:val="en-US" w:eastAsia="zh-CN"/>
        </w:rPr>
        <w:t>5</w:t>
      </w:r>
      <w:r>
        <w:rPr>
          <w:rFonts w:hint="default" w:ascii="Times New Roman" w:hAnsi="Times New Roman" w:eastAsia="仿宋_GB2312" w:cs="Times New Roman"/>
          <w:kern w:val="0"/>
          <w:sz w:val="32"/>
          <w:szCs w:val="32"/>
        </w:rPr>
        <w:t>年度本年支出决算合计</w:t>
      </w:r>
      <w:r>
        <w:rPr>
          <w:rFonts w:hint="eastAsia" w:eastAsia="仿宋_GB2312" w:cs="Times New Roman"/>
          <w:kern w:val="0"/>
          <w:sz w:val="32"/>
          <w:szCs w:val="32"/>
          <w:lang w:val="en-US" w:eastAsia="zh-CN"/>
        </w:rPr>
        <w:t>2,564.92</w:t>
      </w:r>
      <w:r>
        <w:rPr>
          <w:rFonts w:hint="default" w:ascii="Times New Roman" w:hAnsi="Times New Roman" w:eastAsia="仿宋_GB2312" w:cs="Times New Roman"/>
          <w:kern w:val="0"/>
          <w:sz w:val="32"/>
          <w:szCs w:val="32"/>
        </w:rPr>
        <w:t>万元，其中：</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本年基本支出</w:t>
      </w:r>
      <w:r>
        <w:rPr>
          <w:rFonts w:hint="eastAsia" w:eastAsia="仿宋_GB2312" w:cs="Times New Roman"/>
          <w:kern w:val="0"/>
          <w:sz w:val="32"/>
          <w:szCs w:val="32"/>
          <w:lang w:val="en-US" w:eastAsia="zh-CN"/>
        </w:rPr>
        <w:t>2,474.92</w:t>
      </w:r>
      <w:r>
        <w:rPr>
          <w:rFonts w:hint="default" w:ascii="Times New Roman" w:hAnsi="Times New Roman" w:eastAsia="仿宋_GB2312" w:cs="Times New Roman"/>
          <w:kern w:val="0"/>
          <w:sz w:val="32"/>
          <w:szCs w:val="32"/>
        </w:rPr>
        <w:t>万元，占</w:t>
      </w:r>
      <w:r>
        <w:rPr>
          <w:rFonts w:hint="eastAsia" w:eastAsia="仿宋_GB2312" w:cs="Times New Roman"/>
          <w:kern w:val="0"/>
          <w:sz w:val="32"/>
          <w:szCs w:val="32"/>
          <w:lang w:val="en-US" w:eastAsia="zh-CN"/>
        </w:rPr>
        <w:t>96.49</w:t>
      </w:r>
      <w:r>
        <w:rPr>
          <w:rFonts w:hint="default" w:ascii="Times New Roman" w:hAnsi="Times New Roman" w:eastAsia="仿宋_GB2312" w:cs="Times New Roman"/>
          <w:kern w:val="0"/>
          <w:sz w:val="32"/>
          <w:szCs w:val="32"/>
        </w:rPr>
        <w:t>%；</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本年项目支出</w:t>
      </w:r>
      <w:r>
        <w:rPr>
          <w:rFonts w:hint="eastAsia" w:eastAsia="仿宋_GB2312" w:cs="Times New Roman"/>
          <w:kern w:val="0"/>
          <w:sz w:val="32"/>
          <w:szCs w:val="32"/>
          <w:lang w:val="en-US" w:eastAsia="zh-CN"/>
        </w:rPr>
        <w:t>90.00</w:t>
      </w:r>
      <w:r>
        <w:rPr>
          <w:rFonts w:hint="default" w:ascii="Times New Roman" w:hAnsi="Times New Roman" w:eastAsia="仿宋_GB2312" w:cs="Times New Roman"/>
          <w:kern w:val="0"/>
          <w:sz w:val="32"/>
          <w:szCs w:val="32"/>
        </w:rPr>
        <w:t>万元，占</w:t>
      </w:r>
      <w:r>
        <w:rPr>
          <w:rFonts w:hint="eastAsia" w:eastAsia="仿宋_GB2312" w:cs="Times New Roman"/>
          <w:kern w:val="0"/>
          <w:sz w:val="32"/>
          <w:szCs w:val="32"/>
          <w:lang w:val="en-US" w:eastAsia="zh-CN"/>
        </w:rPr>
        <w:t>3.51</w:t>
      </w:r>
      <w:r>
        <w:rPr>
          <w:rFonts w:hint="default" w:ascii="Times New Roman" w:hAnsi="Times New Roman" w:eastAsia="仿宋_GB2312" w:cs="Times New Roman"/>
          <w:kern w:val="0"/>
          <w:sz w:val="32"/>
          <w:szCs w:val="32"/>
        </w:rPr>
        <w:t>%；</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本年上缴上级支出</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万元，占</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本年经营支出</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万元，占</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本年对附属单位补助支出</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万元，占</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w:t>
      </w:r>
    </w:p>
    <w:p>
      <w:pPr>
        <w:pStyle w:val="21"/>
        <w:keepNext w:val="0"/>
        <w:keepLines w:val="0"/>
        <w:pageBreakBefore w:val="0"/>
        <w:kinsoku/>
        <w:wordWrap/>
        <w:overflowPunct/>
        <w:topLinePunct w:val="0"/>
        <w:autoSpaceDN/>
        <w:bidi w:val="0"/>
        <w:adjustRightInd/>
        <w:spacing w:line="240" w:lineRule="auto"/>
        <w:ind w:left="0" w:leftChars="0" w:firstLine="0" w:firstLineChars="0"/>
        <w:jc w:val="center"/>
        <w:textAlignment w:val="auto"/>
        <w:rPr>
          <w:rFonts w:hint="eastAsia" w:ascii="Times New Roman" w:hAnsi="Times New Roman" w:eastAsia="仿宋_GB2312" w:cs="Times New Roman"/>
          <w:kern w:val="0"/>
          <w:sz w:val="32"/>
          <w:szCs w:val="32"/>
          <w:lang w:eastAsia="zh-CN"/>
        </w:rPr>
      </w:pPr>
      <w:r>
        <w:rPr>
          <w:rFonts w:hint="eastAsia" w:ascii="Times New Roman" w:hAnsi="Times New Roman" w:eastAsia="仿宋_GB2312" w:cs="Times New Roman"/>
          <w:kern w:val="0"/>
          <w:sz w:val="32"/>
          <w:szCs w:val="32"/>
          <w:lang w:eastAsia="zh-CN"/>
        </w:rPr>
        <w:drawing>
          <wp:inline distT="0" distB="0" distL="114300" distR="114300">
            <wp:extent cx="5250815" cy="3281680"/>
            <wp:effectExtent l="0" t="0" r="6985" b="13970"/>
            <wp:docPr id="4" name="图片 4" descr="C:/Users/Administrator/Desktop/001.png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Administrator/Desktop/001.png001"/>
                    <pic:cNvPicPr>
                      <a:picLocks noChangeAspect="1"/>
                    </pic:cNvPicPr>
                  </pic:nvPicPr>
                  <pic:blipFill>
                    <a:blip r:embed="rId6"/>
                    <a:srcRect t="8333" b="8333"/>
                    <a:stretch>
                      <a:fillRect/>
                    </a:stretch>
                  </pic:blipFill>
                  <pic:spPr>
                    <a:xfrm>
                      <a:off x="0" y="0"/>
                      <a:ext cx="5250815" cy="3281680"/>
                    </a:xfrm>
                    <a:prstGeom prst="rect">
                      <a:avLst/>
                    </a:prstGeom>
                  </pic:spPr>
                </pic:pic>
              </a:graphicData>
            </a:graphic>
          </wp:inline>
        </w:drawing>
      </w:r>
    </w:p>
    <w:p>
      <w:pPr>
        <w:pStyle w:val="21"/>
        <w:keepNext w:val="0"/>
        <w:keepLines w:val="0"/>
        <w:pageBreakBefore w:val="0"/>
        <w:kinsoku/>
        <w:wordWrap/>
        <w:overflowPunct/>
        <w:topLinePunct w:val="0"/>
        <w:autoSpaceDN/>
        <w:bidi w:val="0"/>
        <w:adjustRightInd/>
        <w:spacing w:line="240" w:lineRule="auto"/>
        <w:ind w:left="0" w:leftChars="0" w:firstLine="0" w:firstLineChars="0"/>
        <w:jc w:val="center"/>
        <w:textAlignment w:val="auto"/>
        <w:rPr>
          <w:rFonts w:hint="default" w:ascii="仿宋_GB2312" w:hAnsi="仿宋_GB2312" w:eastAsia="仿宋_GB2312" w:cs="仿宋_GB2312"/>
          <w:b/>
          <w:bCs/>
          <w:kern w:val="0"/>
          <w:sz w:val="32"/>
          <w:szCs w:val="32"/>
        </w:rPr>
      </w:pPr>
      <w:r>
        <w:rPr>
          <w:rFonts w:hint="default" w:ascii="仿宋_GB2312" w:hAnsi="仿宋_GB2312" w:eastAsia="仿宋_GB2312" w:cs="仿宋_GB2312"/>
          <w:b/>
          <w:bCs/>
          <w:kern w:val="0"/>
          <w:sz w:val="32"/>
          <w:szCs w:val="32"/>
        </w:rPr>
        <w:t>图2.支出决算图</w:t>
      </w:r>
    </w:p>
    <w:p>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640" w:firstLineChars="200"/>
        <w:jc w:val="both"/>
        <w:textAlignment w:val="auto"/>
        <w:rPr>
          <w:rFonts w:hint="eastAsia"/>
        </w:rPr>
      </w:pPr>
      <w:r>
        <w:rPr>
          <w:rFonts w:hint="eastAsia" w:ascii="黑体" w:hAnsi="黑体" w:eastAsia="黑体" w:cs="黑体"/>
          <w:b w:val="0"/>
          <w:bCs w:val="0"/>
          <w:kern w:val="0"/>
          <w:sz w:val="32"/>
          <w:szCs w:val="32"/>
        </w:rPr>
        <w:t>财政拨款收入支出决算总体情况说明</w:t>
      </w:r>
    </w:p>
    <w:p>
      <w:pPr>
        <w:keepNext w:val="0"/>
        <w:keepLines w:val="0"/>
        <w:pageBreakBefore w:val="0"/>
        <w:widowControl w:val="0"/>
        <w:kinsoku/>
        <w:wordWrap/>
        <w:overflowPunct/>
        <w:topLinePunct w:val="0"/>
        <w:autoSpaceDE/>
        <w:autoSpaceDN/>
        <w:bidi w:val="0"/>
        <w:adjustRightInd/>
        <w:snapToGrid/>
        <w:spacing w:beforeAutospacing="0" w:afterAutospacing="0" w:line="560" w:lineRule="exact"/>
        <w:ind w:firstLine="640" w:firstLineChars="200"/>
        <w:jc w:val="both"/>
        <w:textAlignment w:val="auto"/>
        <w:rPr>
          <w:rFonts w:hint="default"/>
        </w:rPr>
      </w:pPr>
      <w:r>
        <w:rPr>
          <w:rFonts w:hint="default" w:ascii="Times New Roman" w:hAnsi="Times New Roman" w:eastAsia="仿宋_GB2312" w:cs="Times New Roman"/>
          <w:kern w:val="0"/>
          <w:sz w:val="32"/>
          <w:szCs w:val="32"/>
        </w:rPr>
        <w:t>内蒙古</w:t>
      </w:r>
      <w:r>
        <w:rPr>
          <w:rFonts w:hint="eastAsia" w:eastAsia="仿宋_GB2312" w:cs="Times New Roman"/>
          <w:kern w:val="0"/>
          <w:sz w:val="32"/>
          <w:szCs w:val="32"/>
          <w:lang w:val="en-US" w:eastAsia="zh-CN"/>
        </w:rPr>
        <w:t>大兴安岭森林公安局莫尔道嘎分局</w:t>
      </w:r>
      <w:r>
        <w:rPr>
          <w:rFonts w:hint="default" w:ascii="Times New Roman" w:hAnsi="Times New Roman" w:eastAsia="仿宋_GB2312" w:cs="Times New Roman"/>
          <w:kern w:val="0"/>
          <w:sz w:val="32"/>
          <w:szCs w:val="32"/>
        </w:rPr>
        <w:t>202</w:t>
      </w:r>
      <w:r>
        <w:rPr>
          <w:rFonts w:hint="eastAsia" w:eastAsia="仿宋_GB2312" w:cs="Times New Roman"/>
          <w:kern w:val="0"/>
          <w:sz w:val="32"/>
          <w:szCs w:val="32"/>
          <w:lang w:val="en-US" w:eastAsia="zh-CN"/>
        </w:rPr>
        <w:t>5</w:t>
      </w:r>
      <w:r>
        <w:rPr>
          <w:rFonts w:hint="default" w:ascii="Times New Roman" w:hAnsi="Times New Roman" w:eastAsia="仿宋_GB2312" w:cs="Times New Roman"/>
          <w:kern w:val="0"/>
          <w:sz w:val="32"/>
          <w:szCs w:val="32"/>
        </w:rPr>
        <w:t>年度财政拨款收入、支出决算总计</w:t>
      </w:r>
      <w:r>
        <w:rPr>
          <w:rFonts w:hint="eastAsia" w:eastAsia="仿宋_GB2312" w:cs="Times New Roman"/>
          <w:kern w:val="0"/>
          <w:sz w:val="32"/>
          <w:szCs w:val="32"/>
          <w:lang w:val="en-US" w:eastAsia="zh-CN"/>
        </w:rPr>
        <w:t>2,564.92</w:t>
      </w:r>
      <w:r>
        <w:rPr>
          <w:rFonts w:hint="default" w:ascii="Times New Roman" w:hAnsi="Times New Roman" w:eastAsia="仿宋_GB2312" w:cs="Times New Roman"/>
          <w:kern w:val="0"/>
          <w:sz w:val="32"/>
          <w:szCs w:val="32"/>
        </w:rPr>
        <w:t>万元，与年初预算相比，收、支总计各</w:t>
      </w:r>
      <w:r>
        <w:rPr>
          <w:rFonts w:hint="eastAsia" w:eastAsia="仿宋_GB2312" w:cs="Times New Roman"/>
          <w:kern w:val="0"/>
          <w:sz w:val="32"/>
          <w:szCs w:val="32"/>
          <w:lang w:val="en-US" w:eastAsia="zh-CN"/>
        </w:rPr>
        <w:t>减少34.59</w:t>
      </w:r>
      <w:r>
        <w:rPr>
          <w:rFonts w:hint="default" w:ascii="Times New Roman" w:hAnsi="Times New Roman" w:eastAsia="仿宋_GB2312" w:cs="Times New Roman"/>
          <w:kern w:val="0"/>
          <w:sz w:val="32"/>
          <w:szCs w:val="32"/>
        </w:rPr>
        <w:t>万元，</w:t>
      </w:r>
      <w:r>
        <w:rPr>
          <w:rFonts w:hint="eastAsia" w:eastAsia="仿宋_GB2312" w:cs="Times New Roman"/>
          <w:kern w:val="0"/>
          <w:sz w:val="32"/>
          <w:szCs w:val="32"/>
          <w:lang w:val="en-US" w:eastAsia="zh-CN"/>
        </w:rPr>
        <w:t>下降1.33</w:t>
      </w:r>
      <w:r>
        <w:rPr>
          <w:rFonts w:hint="default" w:ascii="Times New Roman" w:hAnsi="Times New Roman" w:eastAsia="仿宋_GB2312" w:cs="Times New Roman"/>
          <w:kern w:val="0"/>
          <w:sz w:val="32"/>
          <w:szCs w:val="32"/>
        </w:rPr>
        <w:t>%，</w:t>
      </w:r>
      <w:r>
        <w:rPr>
          <w:rFonts w:hint="default" w:ascii="Times New Roman" w:hAnsi="Times New Roman" w:eastAsia="仿宋_GB2312" w:cs="Times New Roman"/>
          <w:color w:val="auto"/>
          <w:kern w:val="0"/>
          <w:sz w:val="32"/>
          <w:szCs w:val="32"/>
        </w:rPr>
        <w:t>变动原因：</w:t>
      </w:r>
      <w:r>
        <w:rPr>
          <w:rFonts w:hint="eastAsia" w:eastAsia="仿宋_GB2312" w:cs="Times New Roman"/>
          <w:color w:val="auto"/>
          <w:kern w:val="0"/>
          <w:sz w:val="32"/>
          <w:szCs w:val="32"/>
          <w:lang w:val="en-US" w:eastAsia="zh-CN"/>
        </w:rPr>
        <w:t>因人员退休，工资、社保、公积金等人员实际支出低于年初预算</w:t>
      </w:r>
      <w:r>
        <w:rPr>
          <w:rFonts w:hint="default" w:ascii="Times New Roman" w:hAnsi="Times New Roman" w:eastAsia="仿宋_GB2312" w:cs="Times New Roman"/>
          <w:color w:val="auto"/>
          <w:kern w:val="0"/>
          <w:sz w:val="32"/>
          <w:szCs w:val="32"/>
        </w:rPr>
        <w:t>；与上年决算相比，收、支总计各</w:t>
      </w:r>
      <w:r>
        <w:rPr>
          <w:rFonts w:hint="eastAsia" w:eastAsia="仿宋_GB2312" w:cs="Times New Roman"/>
          <w:color w:val="auto"/>
          <w:kern w:val="0"/>
          <w:sz w:val="32"/>
          <w:szCs w:val="32"/>
          <w:lang w:eastAsia="zh-CN"/>
        </w:rPr>
        <w:t>增加</w:t>
      </w:r>
      <w:r>
        <w:rPr>
          <w:rFonts w:hint="eastAsia" w:eastAsia="仿宋_GB2312" w:cs="Times New Roman"/>
          <w:color w:val="auto"/>
          <w:kern w:val="0"/>
          <w:sz w:val="32"/>
          <w:szCs w:val="32"/>
          <w:lang w:val="en-US" w:eastAsia="zh-CN"/>
        </w:rPr>
        <w:t>92.21</w:t>
      </w:r>
      <w:r>
        <w:rPr>
          <w:rFonts w:hint="default" w:ascii="Times New Roman" w:hAnsi="Times New Roman" w:eastAsia="仿宋_GB2312" w:cs="Times New Roman"/>
          <w:color w:val="auto"/>
          <w:kern w:val="0"/>
          <w:sz w:val="32"/>
          <w:szCs w:val="32"/>
        </w:rPr>
        <w:t>万元，</w:t>
      </w:r>
      <w:r>
        <w:rPr>
          <w:rFonts w:hint="eastAsia" w:eastAsia="仿宋_GB2312" w:cs="Times New Roman"/>
          <w:color w:val="auto"/>
          <w:kern w:val="0"/>
          <w:sz w:val="32"/>
          <w:szCs w:val="32"/>
          <w:lang w:eastAsia="zh-CN"/>
        </w:rPr>
        <w:t>增长</w:t>
      </w:r>
      <w:r>
        <w:rPr>
          <w:rFonts w:hint="eastAsia" w:eastAsia="仿宋_GB2312" w:cs="Times New Roman"/>
          <w:color w:val="auto"/>
          <w:kern w:val="0"/>
          <w:sz w:val="32"/>
          <w:szCs w:val="32"/>
          <w:lang w:val="en-US" w:eastAsia="zh-CN"/>
        </w:rPr>
        <w:t>3.73</w:t>
      </w:r>
      <w:r>
        <w:rPr>
          <w:rFonts w:hint="default" w:ascii="Times New Roman" w:hAnsi="Times New Roman" w:eastAsia="仿宋_GB2312" w:cs="Times New Roman"/>
          <w:color w:val="auto"/>
          <w:kern w:val="0"/>
          <w:sz w:val="32"/>
          <w:szCs w:val="32"/>
        </w:rPr>
        <w:t>%，变动原因：</w:t>
      </w:r>
      <w:r>
        <w:rPr>
          <w:rFonts w:hint="eastAsia" w:eastAsia="仿宋_GB2312" w:cs="Times New Roman"/>
          <w:color w:val="auto"/>
          <w:kern w:val="0"/>
          <w:sz w:val="32"/>
          <w:szCs w:val="32"/>
          <w:lang w:val="en-US" w:eastAsia="zh-CN"/>
        </w:rPr>
        <w:t>新招录人员变动，人员经费和项目经费增加。</w:t>
      </w:r>
    </w:p>
    <w:p>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640" w:firstLineChars="200"/>
        <w:jc w:val="both"/>
        <w:textAlignment w:val="auto"/>
        <w:rPr>
          <w:rFonts w:hint="default"/>
        </w:rPr>
      </w:pPr>
      <w:r>
        <w:rPr>
          <w:rFonts w:hint="default" w:ascii="黑体" w:hAnsi="黑体" w:eastAsia="黑体" w:cs="黑体"/>
          <w:b w:val="0"/>
          <w:bCs w:val="0"/>
          <w:kern w:val="0"/>
          <w:sz w:val="32"/>
          <w:szCs w:val="32"/>
        </w:rPr>
        <w:t>一般公共预算财政拨款支出决算情况说明</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内蒙古</w:t>
      </w:r>
      <w:r>
        <w:rPr>
          <w:rFonts w:hint="eastAsia" w:eastAsia="仿宋_GB2312" w:cs="Times New Roman"/>
          <w:kern w:val="0"/>
          <w:sz w:val="32"/>
          <w:szCs w:val="32"/>
          <w:lang w:val="en-US" w:eastAsia="zh-CN"/>
        </w:rPr>
        <w:t>大兴安岭森林公安局莫尔道嘎分局</w:t>
      </w:r>
      <w:r>
        <w:rPr>
          <w:rFonts w:hint="default" w:ascii="Times New Roman" w:hAnsi="Times New Roman" w:eastAsia="仿宋_GB2312" w:cs="Times New Roman"/>
          <w:kern w:val="0"/>
          <w:sz w:val="32"/>
          <w:szCs w:val="32"/>
        </w:rPr>
        <w:t>202</w:t>
      </w:r>
      <w:r>
        <w:rPr>
          <w:rFonts w:hint="eastAsia" w:eastAsia="仿宋_GB2312" w:cs="Times New Roman"/>
          <w:kern w:val="0"/>
          <w:sz w:val="32"/>
          <w:szCs w:val="32"/>
          <w:lang w:val="en-US" w:eastAsia="zh-CN"/>
        </w:rPr>
        <w:t>5</w:t>
      </w:r>
      <w:r>
        <w:rPr>
          <w:rFonts w:hint="default" w:ascii="Times New Roman" w:hAnsi="Times New Roman" w:eastAsia="仿宋_GB2312" w:cs="Times New Roman"/>
          <w:kern w:val="0"/>
          <w:sz w:val="32"/>
          <w:szCs w:val="32"/>
        </w:rPr>
        <w:t>年度一般公共预算财政拨款支出决算</w:t>
      </w:r>
      <w:r>
        <w:rPr>
          <w:rFonts w:hint="eastAsia" w:eastAsia="仿宋_GB2312" w:cs="Times New Roman"/>
          <w:kern w:val="0"/>
          <w:sz w:val="32"/>
          <w:szCs w:val="32"/>
          <w:lang w:val="en-US" w:eastAsia="zh-CN"/>
        </w:rPr>
        <w:t>2,564.92</w:t>
      </w:r>
      <w:r>
        <w:rPr>
          <w:rFonts w:hint="default" w:ascii="Times New Roman" w:hAnsi="Times New Roman" w:eastAsia="仿宋_GB2312" w:cs="Times New Roman"/>
          <w:kern w:val="0"/>
          <w:sz w:val="32"/>
          <w:szCs w:val="32"/>
        </w:rPr>
        <w:t>万元。与年初预算</w:t>
      </w:r>
      <w:r>
        <w:rPr>
          <w:rFonts w:hint="eastAsia" w:eastAsia="仿宋_GB2312" w:cs="Times New Roman"/>
          <w:kern w:val="0"/>
          <w:sz w:val="32"/>
          <w:szCs w:val="32"/>
          <w:lang w:val="en-US" w:eastAsia="zh-CN"/>
        </w:rPr>
        <w:t>2,599.52</w:t>
      </w:r>
      <w:r>
        <w:rPr>
          <w:rFonts w:hint="default" w:ascii="Times New Roman" w:hAnsi="Times New Roman" w:eastAsia="仿宋_GB2312" w:cs="Times New Roman"/>
          <w:kern w:val="0"/>
          <w:sz w:val="32"/>
          <w:szCs w:val="32"/>
        </w:rPr>
        <w:t>万元相比，完成年初预算的</w:t>
      </w:r>
      <w:r>
        <w:rPr>
          <w:rFonts w:hint="eastAsia" w:eastAsia="仿宋_GB2312" w:cs="Times New Roman"/>
          <w:kern w:val="0"/>
          <w:sz w:val="32"/>
          <w:szCs w:val="32"/>
          <w:lang w:val="en-US" w:eastAsia="zh-CN"/>
        </w:rPr>
        <w:t>98.67</w:t>
      </w:r>
      <w:r>
        <w:rPr>
          <w:rFonts w:hint="default" w:ascii="Times New Roman" w:hAnsi="Times New Roman" w:eastAsia="仿宋_GB2312" w:cs="Times New Roman"/>
          <w:kern w:val="0"/>
          <w:sz w:val="32"/>
          <w:szCs w:val="32"/>
        </w:rPr>
        <w:t>%。其中：</w:t>
      </w:r>
    </w:p>
    <w:p>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both"/>
        <w:textAlignment w:val="auto"/>
        <w:rPr>
          <w:rFonts w:hint="eastAsia" w:ascii="楷体_GB2312" w:hAnsi="楷体_GB2312" w:eastAsia="楷体_GB2312" w:cs="楷体_GB2312"/>
          <w:b/>
          <w:bCs/>
          <w:kern w:val="0"/>
          <w:sz w:val="32"/>
          <w:szCs w:val="32"/>
          <w:lang w:eastAsia="zh-CN"/>
        </w:rPr>
      </w:pPr>
      <w:r>
        <w:rPr>
          <w:rFonts w:hint="eastAsia" w:ascii="楷体_GB2312" w:hAnsi="楷体_GB2312" w:eastAsia="楷体_GB2312" w:cs="楷体_GB2312"/>
          <w:b/>
          <w:bCs/>
          <w:kern w:val="0"/>
          <w:sz w:val="32"/>
          <w:szCs w:val="32"/>
        </w:rPr>
        <w:t>（</w:t>
      </w:r>
      <w:r>
        <w:rPr>
          <w:rFonts w:hint="eastAsia" w:ascii="楷体_GB2312" w:hAnsi="楷体_GB2312" w:eastAsia="楷体_GB2312" w:cs="楷体_GB2312"/>
          <w:b/>
          <w:bCs/>
          <w:kern w:val="0"/>
          <w:sz w:val="32"/>
          <w:szCs w:val="32"/>
          <w:lang w:val="en-US" w:eastAsia="zh-CN"/>
        </w:rPr>
        <w:t>一</w:t>
      </w:r>
      <w:r>
        <w:rPr>
          <w:rFonts w:hint="eastAsia" w:ascii="楷体_GB2312" w:hAnsi="楷体_GB2312" w:eastAsia="楷体_GB2312" w:cs="楷体_GB2312"/>
          <w:b/>
          <w:bCs/>
          <w:kern w:val="0"/>
          <w:sz w:val="32"/>
          <w:szCs w:val="32"/>
        </w:rPr>
        <w:t>）公共安全（类）</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公共安全类决算数为</w:t>
      </w:r>
      <w:r>
        <w:rPr>
          <w:rFonts w:hint="eastAsia" w:eastAsia="仿宋_GB2312" w:cs="Times New Roman"/>
          <w:kern w:val="0"/>
          <w:sz w:val="32"/>
          <w:szCs w:val="32"/>
          <w:lang w:val="en-US" w:eastAsia="zh-CN"/>
        </w:rPr>
        <w:t>1,947.34</w:t>
      </w:r>
      <w:r>
        <w:rPr>
          <w:rFonts w:hint="default" w:ascii="Times New Roman" w:hAnsi="Times New Roman" w:eastAsia="仿宋_GB2312" w:cs="Times New Roman"/>
          <w:kern w:val="0"/>
          <w:sz w:val="32"/>
          <w:szCs w:val="32"/>
        </w:rPr>
        <w:t>万元，与年初预算相比</w:t>
      </w:r>
      <w:r>
        <w:rPr>
          <w:rFonts w:hint="eastAsia" w:eastAsia="仿宋_GB2312" w:cs="Times New Roman"/>
          <w:kern w:val="0"/>
          <w:sz w:val="32"/>
          <w:szCs w:val="32"/>
          <w:lang w:val="en-US" w:eastAsia="zh-CN"/>
        </w:rPr>
        <w:t>减少16.52</w:t>
      </w:r>
      <w:r>
        <w:rPr>
          <w:rFonts w:hint="default" w:ascii="Times New Roman" w:hAnsi="Times New Roman" w:eastAsia="仿宋_GB2312" w:cs="Times New Roman"/>
          <w:kern w:val="0"/>
          <w:sz w:val="32"/>
          <w:szCs w:val="32"/>
        </w:rPr>
        <w:t>万元。其中：</w:t>
      </w:r>
    </w:p>
    <w:p>
      <w:pPr>
        <w:keepNext w:val="0"/>
        <w:keepLines w:val="0"/>
        <w:pageBreakBefore w:val="0"/>
        <w:widowControl w:val="0"/>
        <w:kinsoku/>
        <w:wordWrap/>
        <w:overflowPunct/>
        <w:topLinePunct w:val="0"/>
        <w:autoSpaceDE/>
        <w:autoSpaceDN/>
        <w:bidi w:val="0"/>
        <w:adjustRightInd/>
        <w:snapToGrid/>
        <w:spacing w:beforeAutospacing="0" w:afterAutospacing="0" w:line="560" w:lineRule="exact"/>
        <w:ind w:firstLine="640" w:firstLineChars="200"/>
        <w:jc w:val="both"/>
        <w:textAlignment w:val="auto"/>
        <w:rPr>
          <w:rFonts w:hint="default" w:ascii="Times New Roman" w:hAnsi="Times New Roman" w:eastAsia="仿宋_GB2312" w:cs="Times New Roman"/>
          <w:color w:val="auto"/>
          <w:kern w:val="0"/>
          <w:sz w:val="32"/>
          <w:szCs w:val="32"/>
        </w:rPr>
      </w:pPr>
      <w:r>
        <w:rPr>
          <w:rFonts w:hint="default" w:ascii="Times New Roman" w:hAnsi="Times New Roman" w:eastAsia="仿宋_GB2312" w:cs="Times New Roman"/>
          <w:color w:val="auto"/>
          <w:kern w:val="0"/>
          <w:sz w:val="32"/>
          <w:szCs w:val="32"/>
        </w:rPr>
        <w:t>1</w:t>
      </w:r>
      <w:r>
        <w:rPr>
          <w:rFonts w:hint="eastAsia" w:eastAsia="仿宋_GB2312" w:cs="Times New Roman"/>
          <w:color w:val="auto"/>
          <w:kern w:val="0"/>
          <w:sz w:val="32"/>
          <w:szCs w:val="32"/>
          <w:lang w:val="en-US" w:eastAsia="zh-CN"/>
        </w:rPr>
        <w:t>.</w:t>
      </w:r>
      <w:r>
        <w:rPr>
          <w:rFonts w:hint="default" w:ascii="Times New Roman" w:hAnsi="Times New Roman" w:eastAsia="仿宋_GB2312" w:cs="Times New Roman"/>
          <w:color w:val="auto"/>
          <w:kern w:val="0"/>
          <w:sz w:val="32"/>
          <w:szCs w:val="32"/>
        </w:rPr>
        <w:t>公安（款）行政运行（项）。年初预算</w:t>
      </w:r>
      <w:r>
        <w:rPr>
          <w:rFonts w:hint="eastAsia" w:eastAsia="仿宋_GB2312" w:cs="Times New Roman"/>
          <w:color w:val="auto"/>
          <w:kern w:val="0"/>
          <w:sz w:val="32"/>
          <w:szCs w:val="32"/>
          <w:lang w:val="en-US" w:eastAsia="zh-CN"/>
        </w:rPr>
        <w:t>1,910.57</w:t>
      </w:r>
      <w:r>
        <w:rPr>
          <w:rFonts w:hint="default" w:ascii="Times New Roman" w:hAnsi="Times New Roman" w:eastAsia="仿宋_GB2312" w:cs="Times New Roman"/>
          <w:color w:val="auto"/>
          <w:kern w:val="0"/>
          <w:sz w:val="32"/>
          <w:szCs w:val="32"/>
        </w:rPr>
        <w:t>万元，支出决算</w:t>
      </w:r>
      <w:r>
        <w:rPr>
          <w:rFonts w:hint="eastAsia" w:eastAsia="仿宋_GB2312" w:cs="Times New Roman"/>
          <w:color w:val="auto"/>
          <w:kern w:val="0"/>
          <w:sz w:val="32"/>
          <w:szCs w:val="32"/>
          <w:lang w:val="en-US" w:eastAsia="zh-CN"/>
        </w:rPr>
        <w:t>1,849.05</w:t>
      </w:r>
      <w:r>
        <w:rPr>
          <w:rFonts w:hint="default" w:ascii="Times New Roman" w:hAnsi="Times New Roman" w:eastAsia="仿宋_GB2312" w:cs="Times New Roman"/>
          <w:color w:val="auto"/>
          <w:kern w:val="0"/>
          <w:sz w:val="32"/>
          <w:szCs w:val="32"/>
        </w:rPr>
        <w:t>万元，完成年初预算的</w:t>
      </w:r>
      <w:r>
        <w:rPr>
          <w:rFonts w:hint="eastAsia" w:eastAsia="仿宋_GB2312" w:cs="Times New Roman"/>
          <w:color w:val="auto"/>
          <w:kern w:val="0"/>
          <w:sz w:val="32"/>
          <w:szCs w:val="32"/>
          <w:lang w:val="en-US" w:eastAsia="zh-CN"/>
        </w:rPr>
        <w:t>96.78</w:t>
      </w:r>
      <w:r>
        <w:rPr>
          <w:rFonts w:hint="default" w:ascii="Times New Roman" w:hAnsi="Times New Roman" w:eastAsia="仿宋_GB2312" w:cs="Times New Roman"/>
          <w:color w:val="auto"/>
          <w:kern w:val="0"/>
          <w:sz w:val="32"/>
          <w:szCs w:val="32"/>
        </w:rPr>
        <w:t>%。决算数与年初预算数的差异原因：</w:t>
      </w:r>
      <w:r>
        <w:rPr>
          <w:rFonts w:hint="eastAsia" w:eastAsia="仿宋_GB2312" w:cs="Times New Roman"/>
          <w:color w:val="auto"/>
          <w:kern w:val="0"/>
          <w:sz w:val="32"/>
          <w:szCs w:val="32"/>
          <w:lang w:val="en-US" w:eastAsia="zh-CN"/>
        </w:rPr>
        <w:t>因人员退休，工资、社保、公积金等人员实际支出低于年初预算</w:t>
      </w:r>
      <w:r>
        <w:rPr>
          <w:rFonts w:hint="default" w:ascii="Times New Roman" w:hAnsi="Times New Roman" w:eastAsia="仿宋_GB2312" w:cs="Times New Roman"/>
          <w:color w:val="auto"/>
          <w:kern w:val="0"/>
          <w:sz w:val="32"/>
          <w:szCs w:val="32"/>
        </w:rPr>
        <w:t>。</w:t>
      </w:r>
    </w:p>
    <w:p>
      <w:pPr>
        <w:keepNext w:val="0"/>
        <w:keepLines w:val="0"/>
        <w:pageBreakBefore w:val="0"/>
        <w:widowControl/>
        <w:suppressLineNumbers w:val="0"/>
        <w:kinsoku/>
        <w:wordWrap/>
        <w:overflowPunct/>
        <w:topLinePunct w:val="0"/>
        <w:autoSpaceDE w:val="0"/>
        <w:autoSpaceDN/>
        <w:bidi w:val="0"/>
        <w:adjustRightInd/>
        <w:snapToGrid/>
        <w:spacing w:beforeAutospacing="0" w:afterAutospacing="0" w:line="560" w:lineRule="exact"/>
        <w:ind w:right="0" w:rightChars="0" w:firstLine="640" w:firstLineChars="200"/>
        <w:jc w:val="both"/>
        <w:textAlignment w:val="auto"/>
        <w:rPr>
          <w:rFonts w:hint="default" w:ascii="Times New Roman" w:hAnsi="Times New Roman" w:eastAsia="仿宋_GB2312" w:cs="Times New Roman"/>
          <w:color w:val="auto"/>
          <w:kern w:val="0"/>
          <w:sz w:val="32"/>
          <w:szCs w:val="32"/>
          <w:lang w:val="en-US" w:eastAsia="zh-CN"/>
        </w:rPr>
      </w:pPr>
      <w:r>
        <w:rPr>
          <w:rFonts w:hint="default" w:ascii="Times New Roman" w:hAnsi="Times New Roman" w:eastAsia="仿宋_GB2312" w:cs="Times New Roman"/>
          <w:color w:val="auto"/>
          <w:kern w:val="0"/>
          <w:sz w:val="32"/>
          <w:szCs w:val="32"/>
        </w:rPr>
        <w:t>2</w:t>
      </w:r>
      <w:r>
        <w:rPr>
          <w:rFonts w:hint="eastAsia" w:eastAsia="仿宋_GB2312" w:cs="Times New Roman"/>
          <w:color w:val="auto"/>
          <w:kern w:val="0"/>
          <w:sz w:val="32"/>
          <w:szCs w:val="32"/>
          <w:lang w:val="en-US" w:eastAsia="zh-CN"/>
        </w:rPr>
        <w:t>.</w:t>
      </w:r>
      <w:r>
        <w:rPr>
          <w:rFonts w:hint="eastAsia" w:ascii="仿宋_GB2312" w:hAnsi="仿宋_GB2312" w:eastAsia="仿宋_GB2312" w:cs="仿宋_GB2312"/>
          <w:b w:val="0"/>
          <w:bCs w:val="0"/>
          <w:color w:val="auto"/>
          <w:kern w:val="0"/>
          <w:sz w:val="32"/>
          <w:szCs w:val="32"/>
        </w:rPr>
        <w:t>公安（款）一般行政管理事务（项）。年初预算</w:t>
      </w:r>
      <w:r>
        <w:rPr>
          <w:rFonts w:hint="eastAsia" w:ascii="仿宋_GB2312" w:hAnsi="仿宋_GB2312" w:eastAsia="仿宋_GB2312" w:cs="仿宋_GB2312"/>
          <w:b w:val="0"/>
          <w:bCs w:val="0"/>
          <w:color w:val="auto"/>
          <w:kern w:val="0"/>
          <w:sz w:val="32"/>
          <w:szCs w:val="32"/>
          <w:lang w:val="en-US" w:eastAsia="zh-CN"/>
        </w:rPr>
        <w:t>53.29</w:t>
      </w:r>
      <w:r>
        <w:rPr>
          <w:rFonts w:hint="eastAsia" w:ascii="仿宋_GB2312" w:hAnsi="仿宋_GB2312" w:eastAsia="仿宋_GB2312" w:cs="仿宋_GB2312"/>
          <w:b w:val="0"/>
          <w:bCs w:val="0"/>
          <w:color w:val="auto"/>
          <w:kern w:val="0"/>
          <w:sz w:val="32"/>
          <w:szCs w:val="32"/>
        </w:rPr>
        <w:t>万元，支出决算</w:t>
      </w:r>
      <w:r>
        <w:rPr>
          <w:rFonts w:hint="eastAsia" w:ascii="仿宋_GB2312" w:hAnsi="仿宋_GB2312" w:eastAsia="仿宋_GB2312" w:cs="仿宋_GB2312"/>
          <w:b w:val="0"/>
          <w:bCs w:val="0"/>
          <w:color w:val="auto"/>
          <w:kern w:val="0"/>
          <w:sz w:val="32"/>
          <w:szCs w:val="32"/>
          <w:lang w:val="en-US" w:eastAsia="zh-CN"/>
        </w:rPr>
        <w:t>98.29</w:t>
      </w:r>
      <w:r>
        <w:rPr>
          <w:rFonts w:hint="eastAsia" w:ascii="仿宋_GB2312" w:hAnsi="仿宋_GB2312" w:eastAsia="仿宋_GB2312" w:cs="仿宋_GB2312"/>
          <w:b w:val="0"/>
          <w:bCs w:val="0"/>
          <w:color w:val="auto"/>
          <w:kern w:val="0"/>
          <w:sz w:val="32"/>
          <w:szCs w:val="32"/>
        </w:rPr>
        <w:t>万元，完成年初预算的</w:t>
      </w:r>
      <w:r>
        <w:rPr>
          <w:rFonts w:hint="default" w:ascii="Times New Roman" w:hAnsi="Times New Roman" w:eastAsia="仿宋_GB2312" w:cs="Times New Roman"/>
          <w:b w:val="0"/>
          <w:bCs w:val="0"/>
          <w:color w:val="auto"/>
          <w:kern w:val="0"/>
          <w:sz w:val="32"/>
          <w:szCs w:val="32"/>
          <w:lang w:val="en-US" w:eastAsia="zh-CN"/>
        </w:rPr>
        <w:t>1</w:t>
      </w:r>
      <w:r>
        <w:rPr>
          <w:rFonts w:hint="eastAsia" w:eastAsia="仿宋_GB2312" w:cs="Times New Roman"/>
          <w:b w:val="0"/>
          <w:bCs w:val="0"/>
          <w:color w:val="auto"/>
          <w:kern w:val="0"/>
          <w:sz w:val="32"/>
          <w:szCs w:val="32"/>
          <w:lang w:val="en-US" w:eastAsia="zh-CN"/>
        </w:rPr>
        <w:t>84.44</w:t>
      </w:r>
      <w:r>
        <w:rPr>
          <w:rFonts w:hint="default" w:ascii="Times New Roman" w:hAnsi="Times New Roman" w:eastAsia="仿宋_GB2312" w:cs="Times New Roman"/>
          <w:b w:val="0"/>
          <w:bCs w:val="0"/>
          <w:color w:val="auto"/>
          <w:kern w:val="0"/>
          <w:sz w:val="32"/>
          <w:szCs w:val="32"/>
        </w:rPr>
        <w:t>%</w:t>
      </w:r>
      <w:r>
        <w:rPr>
          <w:rFonts w:hint="eastAsia" w:ascii="仿宋_GB2312" w:hAnsi="仿宋_GB2312" w:eastAsia="仿宋_GB2312" w:cs="仿宋_GB2312"/>
          <w:b w:val="0"/>
          <w:bCs w:val="0"/>
          <w:color w:val="auto"/>
          <w:kern w:val="0"/>
          <w:sz w:val="32"/>
          <w:szCs w:val="32"/>
        </w:rPr>
        <w:t>。决算数与年初预算数</w:t>
      </w:r>
      <w:r>
        <w:rPr>
          <w:rFonts w:hint="eastAsia" w:ascii="仿宋_GB2312" w:hAnsi="仿宋_GB2312" w:eastAsia="仿宋_GB2312" w:cs="仿宋_GB2312"/>
          <w:b w:val="0"/>
          <w:bCs w:val="0"/>
          <w:color w:val="auto"/>
          <w:kern w:val="0"/>
          <w:sz w:val="32"/>
          <w:szCs w:val="32"/>
          <w:lang w:eastAsia="zh-CN"/>
        </w:rPr>
        <w:t>差异原因：本年新增项目经费</w:t>
      </w:r>
      <w:r>
        <w:rPr>
          <w:rFonts w:hint="eastAsia" w:ascii="仿宋_GB2312" w:hAnsi="仿宋_GB2312" w:eastAsia="仿宋_GB2312" w:cs="仿宋_GB2312"/>
          <w:b w:val="0"/>
          <w:bCs w:val="0"/>
          <w:color w:val="auto"/>
          <w:kern w:val="0"/>
          <w:sz w:val="32"/>
          <w:szCs w:val="32"/>
        </w:rPr>
        <w:t>。</w:t>
      </w:r>
    </w:p>
    <w:p>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both"/>
        <w:textAlignment w:val="auto"/>
        <w:rPr>
          <w:rFonts w:hint="eastAsia" w:eastAsia="楷体_GB2312"/>
          <w:lang w:eastAsia="zh-CN"/>
        </w:rPr>
      </w:pPr>
      <w:r>
        <w:rPr>
          <w:rFonts w:hint="eastAsia" w:ascii="楷体_GB2312" w:hAnsi="楷体_GB2312" w:eastAsia="楷体_GB2312" w:cs="楷体_GB2312"/>
          <w:b/>
          <w:bCs/>
          <w:kern w:val="0"/>
          <w:sz w:val="32"/>
          <w:szCs w:val="32"/>
        </w:rPr>
        <w:t>（</w:t>
      </w:r>
      <w:r>
        <w:rPr>
          <w:rFonts w:hint="eastAsia" w:ascii="楷体_GB2312" w:hAnsi="楷体_GB2312" w:eastAsia="楷体_GB2312" w:cs="楷体_GB2312"/>
          <w:b/>
          <w:bCs/>
          <w:kern w:val="0"/>
          <w:sz w:val="32"/>
          <w:szCs w:val="32"/>
          <w:lang w:val="en-US" w:eastAsia="zh-CN"/>
        </w:rPr>
        <w:t>二</w:t>
      </w:r>
      <w:r>
        <w:rPr>
          <w:rFonts w:hint="eastAsia" w:ascii="楷体_GB2312" w:hAnsi="楷体_GB2312" w:eastAsia="楷体_GB2312" w:cs="楷体_GB2312"/>
          <w:b/>
          <w:bCs/>
          <w:kern w:val="0"/>
          <w:sz w:val="32"/>
          <w:szCs w:val="32"/>
        </w:rPr>
        <w:t>）社会保障和就业支出（类）</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社会保障和就业支出类决算数为</w:t>
      </w:r>
      <w:r>
        <w:rPr>
          <w:rFonts w:hint="eastAsia" w:eastAsia="仿宋_GB2312" w:cs="Times New Roman"/>
          <w:kern w:val="0"/>
          <w:sz w:val="32"/>
          <w:szCs w:val="32"/>
          <w:lang w:val="en-US" w:eastAsia="zh-CN"/>
        </w:rPr>
        <w:t>278.36</w:t>
      </w:r>
      <w:r>
        <w:rPr>
          <w:rFonts w:hint="default" w:ascii="Times New Roman" w:hAnsi="Times New Roman" w:eastAsia="仿宋_GB2312" w:cs="Times New Roman"/>
          <w:kern w:val="0"/>
          <w:sz w:val="32"/>
          <w:szCs w:val="32"/>
        </w:rPr>
        <w:t>万元，与年初预算相比减少</w:t>
      </w:r>
      <w:r>
        <w:rPr>
          <w:rFonts w:hint="eastAsia" w:eastAsia="仿宋_GB2312" w:cs="Times New Roman"/>
          <w:kern w:val="0"/>
          <w:sz w:val="32"/>
          <w:szCs w:val="32"/>
          <w:lang w:val="en-US" w:eastAsia="zh-CN"/>
        </w:rPr>
        <w:t>1.09</w:t>
      </w:r>
      <w:r>
        <w:rPr>
          <w:rFonts w:hint="default" w:ascii="Times New Roman" w:hAnsi="Times New Roman" w:eastAsia="仿宋_GB2312" w:cs="Times New Roman"/>
          <w:kern w:val="0"/>
          <w:sz w:val="32"/>
          <w:szCs w:val="32"/>
        </w:rPr>
        <w:t>万元。其中：</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color w:val="auto"/>
          <w:kern w:val="0"/>
          <w:sz w:val="32"/>
          <w:szCs w:val="32"/>
        </w:rPr>
      </w:pPr>
      <w:r>
        <w:rPr>
          <w:rFonts w:hint="default" w:ascii="Times New Roman" w:hAnsi="Times New Roman" w:eastAsia="仿宋_GB2312" w:cs="Times New Roman"/>
          <w:color w:val="auto"/>
          <w:kern w:val="0"/>
          <w:sz w:val="32"/>
          <w:szCs w:val="32"/>
        </w:rPr>
        <w:t>1</w:t>
      </w:r>
      <w:r>
        <w:rPr>
          <w:rFonts w:hint="eastAsia" w:eastAsia="仿宋_GB2312" w:cs="Times New Roman"/>
          <w:color w:val="auto"/>
          <w:kern w:val="0"/>
          <w:sz w:val="32"/>
          <w:szCs w:val="32"/>
          <w:lang w:val="en-US" w:eastAsia="zh-CN"/>
        </w:rPr>
        <w:t>.</w:t>
      </w:r>
      <w:r>
        <w:rPr>
          <w:rFonts w:hint="default" w:ascii="Times New Roman" w:hAnsi="Times New Roman" w:eastAsia="仿宋_GB2312" w:cs="Times New Roman"/>
          <w:color w:val="auto"/>
          <w:kern w:val="0"/>
          <w:sz w:val="32"/>
          <w:szCs w:val="32"/>
        </w:rPr>
        <w:t>行政事业单位养老支出（款）行政单位离退休（项）。年初预算</w:t>
      </w:r>
      <w:r>
        <w:rPr>
          <w:rFonts w:hint="eastAsia" w:eastAsia="仿宋_GB2312" w:cs="Times New Roman"/>
          <w:color w:val="auto"/>
          <w:kern w:val="0"/>
          <w:sz w:val="32"/>
          <w:szCs w:val="32"/>
          <w:lang w:val="en-US" w:eastAsia="zh-CN"/>
        </w:rPr>
        <w:t>49.41</w:t>
      </w:r>
      <w:r>
        <w:rPr>
          <w:rFonts w:hint="default" w:ascii="Times New Roman" w:hAnsi="Times New Roman" w:eastAsia="仿宋_GB2312" w:cs="Times New Roman"/>
          <w:color w:val="auto"/>
          <w:kern w:val="0"/>
          <w:sz w:val="32"/>
          <w:szCs w:val="32"/>
        </w:rPr>
        <w:t>万元，支出决算</w:t>
      </w:r>
      <w:r>
        <w:rPr>
          <w:rFonts w:hint="eastAsia" w:eastAsia="仿宋_GB2312" w:cs="Times New Roman"/>
          <w:color w:val="auto"/>
          <w:kern w:val="0"/>
          <w:sz w:val="32"/>
          <w:szCs w:val="32"/>
          <w:lang w:val="en-US" w:eastAsia="zh-CN"/>
        </w:rPr>
        <w:t>53.65</w:t>
      </w:r>
      <w:r>
        <w:rPr>
          <w:rFonts w:hint="default" w:ascii="Times New Roman" w:hAnsi="Times New Roman" w:eastAsia="仿宋_GB2312" w:cs="Times New Roman"/>
          <w:color w:val="auto"/>
          <w:kern w:val="0"/>
          <w:sz w:val="32"/>
          <w:szCs w:val="32"/>
        </w:rPr>
        <w:t>万元，完成年初预算的</w:t>
      </w:r>
      <w:r>
        <w:rPr>
          <w:rFonts w:hint="eastAsia" w:eastAsia="仿宋_GB2312" w:cs="Times New Roman"/>
          <w:color w:val="auto"/>
          <w:kern w:val="0"/>
          <w:sz w:val="32"/>
          <w:szCs w:val="32"/>
          <w:lang w:val="en-US" w:eastAsia="zh-CN"/>
        </w:rPr>
        <w:t>108.58</w:t>
      </w:r>
      <w:r>
        <w:rPr>
          <w:rFonts w:hint="default" w:ascii="Times New Roman" w:hAnsi="Times New Roman" w:eastAsia="仿宋_GB2312" w:cs="Times New Roman"/>
          <w:color w:val="auto"/>
          <w:kern w:val="0"/>
          <w:sz w:val="32"/>
          <w:szCs w:val="32"/>
        </w:rPr>
        <w:t>%。决算数与年初预算数的差异原因：</w:t>
      </w:r>
      <w:r>
        <w:rPr>
          <w:rFonts w:hint="eastAsia" w:eastAsia="仿宋_GB2312" w:cs="Times New Roman"/>
          <w:color w:val="auto"/>
          <w:kern w:val="0"/>
          <w:sz w:val="32"/>
          <w:szCs w:val="32"/>
          <w:lang w:val="en-US" w:eastAsia="zh-CN"/>
        </w:rPr>
        <w:t>本单位本年度退休人员增加</w:t>
      </w:r>
      <w:r>
        <w:rPr>
          <w:rFonts w:hint="default" w:ascii="Times New Roman" w:hAnsi="Times New Roman" w:eastAsia="仿宋_GB2312" w:cs="Times New Roman"/>
          <w:color w:val="auto"/>
          <w:kern w:val="0"/>
          <w:sz w:val="32"/>
          <w:szCs w:val="32"/>
        </w:rPr>
        <w:t>。</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color w:val="auto"/>
          <w:kern w:val="0"/>
          <w:sz w:val="32"/>
          <w:szCs w:val="32"/>
        </w:rPr>
      </w:pPr>
      <w:r>
        <w:rPr>
          <w:rFonts w:hint="eastAsia" w:eastAsia="仿宋_GB2312" w:cs="Times New Roman"/>
          <w:color w:val="auto"/>
          <w:kern w:val="0"/>
          <w:sz w:val="32"/>
          <w:szCs w:val="32"/>
          <w:lang w:val="en-US" w:eastAsia="zh-CN"/>
        </w:rPr>
        <w:t>2.</w:t>
      </w:r>
      <w:r>
        <w:rPr>
          <w:rFonts w:hint="default" w:ascii="Times New Roman" w:hAnsi="Times New Roman" w:eastAsia="仿宋_GB2312" w:cs="Times New Roman"/>
          <w:color w:val="auto"/>
          <w:kern w:val="0"/>
          <w:sz w:val="32"/>
          <w:szCs w:val="32"/>
        </w:rPr>
        <w:t>行政事业单位养老支出（款）机关事业单位基本养老保险缴费支出（项）。年初预算</w:t>
      </w:r>
      <w:r>
        <w:rPr>
          <w:rFonts w:hint="eastAsia" w:eastAsia="仿宋_GB2312" w:cs="Times New Roman"/>
          <w:color w:val="auto"/>
          <w:kern w:val="0"/>
          <w:sz w:val="32"/>
          <w:szCs w:val="32"/>
          <w:lang w:val="en-US" w:eastAsia="zh-CN"/>
        </w:rPr>
        <w:t>153.36</w:t>
      </w:r>
      <w:r>
        <w:rPr>
          <w:rFonts w:hint="default" w:ascii="Times New Roman" w:hAnsi="Times New Roman" w:eastAsia="仿宋_GB2312" w:cs="Times New Roman"/>
          <w:color w:val="auto"/>
          <w:kern w:val="0"/>
          <w:sz w:val="32"/>
          <w:szCs w:val="32"/>
        </w:rPr>
        <w:t>万元，支出决算</w:t>
      </w:r>
      <w:r>
        <w:rPr>
          <w:rFonts w:hint="eastAsia" w:eastAsia="仿宋_GB2312" w:cs="Times New Roman"/>
          <w:color w:val="auto"/>
          <w:kern w:val="0"/>
          <w:sz w:val="32"/>
          <w:szCs w:val="32"/>
          <w:lang w:val="en-US" w:eastAsia="zh-CN"/>
        </w:rPr>
        <w:t>149.09</w:t>
      </w:r>
      <w:r>
        <w:rPr>
          <w:rFonts w:hint="default" w:ascii="Times New Roman" w:hAnsi="Times New Roman" w:eastAsia="仿宋_GB2312" w:cs="Times New Roman"/>
          <w:color w:val="auto"/>
          <w:kern w:val="0"/>
          <w:sz w:val="32"/>
          <w:szCs w:val="32"/>
        </w:rPr>
        <w:t>万元，完成年初预算的</w:t>
      </w:r>
      <w:r>
        <w:rPr>
          <w:rFonts w:hint="eastAsia" w:eastAsia="仿宋_GB2312" w:cs="Times New Roman"/>
          <w:color w:val="auto"/>
          <w:kern w:val="0"/>
          <w:sz w:val="32"/>
          <w:szCs w:val="32"/>
          <w:lang w:val="en-US" w:eastAsia="zh-CN"/>
        </w:rPr>
        <w:t>97.22</w:t>
      </w:r>
      <w:r>
        <w:rPr>
          <w:rFonts w:hint="default" w:ascii="Times New Roman" w:hAnsi="Times New Roman" w:eastAsia="仿宋_GB2312" w:cs="Times New Roman"/>
          <w:color w:val="auto"/>
          <w:kern w:val="0"/>
          <w:sz w:val="32"/>
          <w:szCs w:val="32"/>
        </w:rPr>
        <w:t>%。决算数与年初预算数的差异原因：</w:t>
      </w:r>
      <w:r>
        <w:rPr>
          <w:rFonts w:hint="eastAsia" w:eastAsia="仿宋_GB2312" w:cs="Times New Roman"/>
          <w:color w:val="auto"/>
          <w:kern w:val="0"/>
          <w:sz w:val="32"/>
          <w:szCs w:val="32"/>
          <w:lang w:val="en-US" w:eastAsia="zh-CN"/>
        </w:rPr>
        <w:t>本年度新增退休人员</w:t>
      </w:r>
      <w:r>
        <w:rPr>
          <w:rFonts w:hint="default" w:ascii="Times New Roman" w:hAnsi="Times New Roman" w:eastAsia="仿宋_GB2312" w:cs="Times New Roman"/>
          <w:color w:val="auto"/>
          <w:kern w:val="0"/>
          <w:sz w:val="32"/>
          <w:szCs w:val="32"/>
        </w:rPr>
        <w:t>。</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eastAsia" w:eastAsia="仿宋_GB2312" w:cs="Times New Roman"/>
          <w:color w:val="auto"/>
          <w:kern w:val="0"/>
          <w:sz w:val="32"/>
          <w:szCs w:val="32"/>
          <w:lang w:val="en-US" w:eastAsia="zh-CN"/>
        </w:rPr>
        <w:t>3.</w:t>
      </w:r>
      <w:r>
        <w:rPr>
          <w:rFonts w:hint="default" w:ascii="Times New Roman" w:hAnsi="Times New Roman" w:eastAsia="仿宋_GB2312" w:cs="Times New Roman"/>
          <w:color w:val="auto"/>
          <w:kern w:val="0"/>
          <w:sz w:val="32"/>
          <w:szCs w:val="32"/>
        </w:rPr>
        <w:t>行政事业单位养老支出（款）机关事业单位职业年金缴费支出（项）。年初预算</w:t>
      </w:r>
      <w:r>
        <w:rPr>
          <w:rFonts w:hint="eastAsia" w:eastAsia="仿宋_GB2312" w:cs="Times New Roman"/>
          <w:color w:val="auto"/>
          <w:kern w:val="0"/>
          <w:sz w:val="32"/>
          <w:szCs w:val="32"/>
          <w:lang w:val="en-US" w:eastAsia="zh-CN"/>
        </w:rPr>
        <w:t>76.68</w:t>
      </w:r>
      <w:r>
        <w:rPr>
          <w:rFonts w:hint="default" w:ascii="Times New Roman" w:hAnsi="Times New Roman" w:eastAsia="仿宋_GB2312" w:cs="Times New Roman"/>
          <w:color w:val="auto"/>
          <w:kern w:val="0"/>
          <w:sz w:val="32"/>
          <w:szCs w:val="32"/>
        </w:rPr>
        <w:t>万元，支出决算</w:t>
      </w:r>
      <w:r>
        <w:rPr>
          <w:rFonts w:hint="eastAsia" w:eastAsia="仿宋_GB2312" w:cs="Times New Roman"/>
          <w:color w:val="auto"/>
          <w:kern w:val="0"/>
          <w:sz w:val="32"/>
          <w:szCs w:val="32"/>
          <w:lang w:val="en-US" w:eastAsia="zh-CN"/>
        </w:rPr>
        <w:t>75.62</w:t>
      </w:r>
      <w:r>
        <w:rPr>
          <w:rFonts w:hint="default" w:ascii="Times New Roman" w:hAnsi="Times New Roman" w:eastAsia="仿宋_GB2312" w:cs="Times New Roman"/>
          <w:color w:val="auto"/>
          <w:kern w:val="0"/>
          <w:sz w:val="32"/>
          <w:szCs w:val="32"/>
        </w:rPr>
        <w:t>万元，完成年初预算的</w:t>
      </w:r>
      <w:r>
        <w:rPr>
          <w:rFonts w:hint="eastAsia" w:eastAsia="仿宋_GB2312" w:cs="Times New Roman"/>
          <w:color w:val="auto"/>
          <w:kern w:val="0"/>
          <w:sz w:val="32"/>
          <w:szCs w:val="32"/>
          <w:lang w:val="en-US" w:eastAsia="zh-CN"/>
        </w:rPr>
        <w:t>98.62</w:t>
      </w:r>
      <w:r>
        <w:rPr>
          <w:rFonts w:hint="default" w:ascii="Times New Roman" w:hAnsi="Times New Roman" w:eastAsia="仿宋_GB2312" w:cs="Times New Roman"/>
          <w:color w:val="auto"/>
          <w:kern w:val="0"/>
          <w:sz w:val="32"/>
          <w:szCs w:val="32"/>
        </w:rPr>
        <w:t>%。决算数与年初预算数的差异原因：</w:t>
      </w:r>
      <w:r>
        <w:rPr>
          <w:rFonts w:hint="eastAsia" w:eastAsia="仿宋_GB2312" w:cs="Times New Roman"/>
          <w:color w:val="auto"/>
          <w:kern w:val="0"/>
          <w:sz w:val="32"/>
          <w:szCs w:val="32"/>
          <w:lang w:val="en-US" w:eastAsia="zh-CN"/>
        </w:rPr>
        <w:t>本年度新增退休人员</w:t>
      </w:r>
      <w:r>
        <w:rPr>
          <w:rFonts w:hint="default" w:ascii="Times New Roman" w:hAnsi="Times New Roman" w:eastAsia="仿宋_GB2312" w:cs="Times New Roman"/>
          <w:color w:val="auto"/>
          <w:kern w:val="0"/>
          <w:sz w:val="32"/>
          <w:szCs w:val="32"/>
        </w:rPr>
        <w:t>。</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jc w:val="both"/>
        <w:textAlignment w:val="auto"/>
        <w:rPr>
          <w:rFonts w:hint="eastAsia"/>
        </w:rPr>
      </w:pPr>
      <w:r>
        <w:rPr>
          <w:rFonts w:hint="eastAsia" w:ascii="楷体_GB2312" w:hAnsi="楷体_GB2312" w:eastAsia="楷体_GB2312" w:cs="楷体_GB2312"/>
          <w:b/>
          <w:bCs/>
          <w:kern w:val="0"/>
          <w:sz w:val="32"/>
          <w:szCs w:val="32"/>
        </w:rPr>
        <w:t>（</w:t>
      </w:r>
      <w:r>
        <w:rPr>
          <w:rFonts w:hint="eastAsia" w:ascii="楷体_GB2312" w:hAnsi="楷体_GB2312" w:eastAsia="楷体_GB2312" w:cs="楷体_GB2312"/>
          <w:b/>
          <w:bCs/>
          <w:kern w:val="0"/>
          <w:sz w:val="32"/>
          <w:szCs w:val="32"/>
          <w:lang w:eastAsia="zh-CN"/>
        </w:rPr>
        <w:t>三</w:t>
      </w:r>
      <w:r>
        <w:rPr>
          <w:rFonts w:hint="eastAsia" w:ascii="楷体_GB2312" w:hAnsi="楷体_GB2312" w:eastAsia="楷体_GB2312" w:cs="楷体_GB2312"/>
          <w:b/>
          <w:bCs/>
          <w:kern w:val="0"/>
          <w:sz w:val="32"/>
          <w:szCs w:val="32"/>
        </w:rPr>
        <w:t>）卫生健康支出（类）</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卫生健康支出类决算数为</w:t>
      </w:r>
      <w:r>
        <w:rPr>
          <w:rFonts w:hint="eastAsia" w:eastAsia="仿宋_GB2312" w:cs="Times New Roman"/>
          <w:kern w:val="0"/>
          <w:sz w:val="32"/>
          <w:szCs w:val="32"/>
          <w:lang w:val="en-US" w:eastAsia="zh-CN"/>
        </w:rPr>
        <w:t>151.62</w:t>
      </w:r>
      <w:r>
        <w:rPr>
          <w:rFonts w:hint="default" w:ascii="Times New Roman" w:hAnsi="Times New Roman" w:eastAsia="仿宋_GB2312" w:cs="Times New Roman"/>
          <w:kern w:val="0"/>
          <w:sz w:val="32"/>
          <w:szCs w:val="32"/>
        </w:rPr>
        <w:t>万元，与年初预算相比减少</w:t>
      </w:r>
      <w:r>
        <w:rPr>
          <w:rFonts w:hint="eastAsia" w:eastAsia="仿宋_GB2312" w:cs="Times New Roman"/>
          <w:kern w:val="0"/>
          <w:sz w:val="32"/>
          <w:szCs w:val="32"/>
          <w:lang w:val="en-US" w:eastAsia="zh-CN"/>
        </w:rPr>
        <w:t>9.56</w:t>
      </w:r>
      <w:r>
        <w:rPr>
          <w:rFonts w:hint="default" w:ascii="Times New Roman" w:hAnsi="Times New Roman" w:eastAsia="仿宋_GB2312" w:cs="Times New Roman"/>
          <w:kern w:val="0"/>
          <w:sz w:val="32"/>
          <w:szCs w:val="32"/>
        </w:rPr>
        <w:t>万元。其中：</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color w:val="auto"/>
          <w:kern w:val="0"/>
          <w:sz w:val="32"/>
          <w:szCs w:val="32"/>
        </w:rPr>
      </w:pPr>
      <w:r>
        <w:rPr>
          <w:rFonts w:hint="default" w:ascii="Times New Roman" w:hAnsi="Times New Roman" w:eastAsia="仿宋_GB2312" w:cs="Times New Roman"/>
          <w:color w:val="auto"/>
          <w:kern w:val="0"/>
          <w:sz w:val="32"/>
          <w:szCs w:val="32"/>
        </w:rPr>
        <w:t>1</w:t>
      </w:r>
      <w:r>
        <w:rPr>
          <w:rFonts w:hint="eastAsia" w:eastAsia="仿宋_GB2312" w:cs="Times New Roman"/>
          <w:color w:val="auto"/>
          <w:kern w:val="0"/>
          <w:sz w:val="32"/>
          <w:szCs w:val="32"/>
          <w:lang w:val="en-US" w:eastAsia="zh-CN"/>
        </w:rPr>
        <w:t>.</w:t>
      </w:r>
      <w:r>
        <w:rPr>
          <w:rFonts w:hint="default" w:ascii="Times New Roman" w:hAnsi="Times New Roman" w:eastAsia="仿宋_GB2312" w:cs="Times New Roman"/>
          <w:color w:val="auto"/>
          <w:kern w:val="0"/>
          <w:sz w:val="32"/>
          <w:szCs w:val="32"/>
        </w:rPr>
        <w:t>行政事业单位医疗（款）行政单位医疗（项）。年初预算</w:t>
      </w:r>
      <w:r>
        <w:rPr>
          <w:rFonts w:hint="eastAsia" w:eastAsia="仿宋_GB2312" w:cs="Times New Roman"/>
          <w:color w:val="auto"/>
          <w:kern w:val="0"/>
          <w:sz w:val="32"/>
          <w:szCs w:val="32"/>
          <w:lang w:val="en-US" w:eastAsia="zh-CN"/>
        </w:rPr>
        <w:t>93.25</w:t>
      </w:r>
      <w:r>
        <w:rPr>
          <w:rFonts w:hint="default" w:ascii="Times New Roman" w:hAnsi="Times New Roman" w:eastAsia="仿宋_GB2312" w:cs="Times New Roman"/>
          <w:color w:val="auto"/>
          <w:kern w:val="0"/>
          <w:sz w:val="32"/>
          <w:szCs w:val="32"/>
        </w:rPr>
        <w:t>万元，支出决算</w:t>
      </w:r>
      <w:r>
        <w:rPr>
          <w:rFonts w:hint="eastAsia" w:eastAsia="仿宋_GB2312" w:cs="Times New Roman"/>
          <w:color w:val="auto"/>
          <w:kern w:val="0"/>
          <w:sz w:val="32"/>
          <w:szCs w:val="32"/>
          <w:lang w:val="en-US" w:eastAsia="zh-CN"/>
        </w:rPr>
        <w:t>100.39</w:t>
      </w:r>
      <w:r>
        <w:rPr>
          <w:rFonts w:hint="default" w:ascii="Times New Roman" w:hAnsi="Times New Roman" w:eastAsia="仿宋_GB2312" w:cs="Times New Roman"/>
          <w:color w:val="auto"/>
          <w:kern w:val="0"/>
          <w:sz w:val="32"/>
          <w:szCs w:val="32"/>
        </w:rPr>
        <w:t>万元，完成年初预算的</w:t>
      </w:r>
      <w:r>
        <w:rPr>
          <w:rFonts w:hint="eastAsia" w:eastAsia="仿宋_GB2312" w:cs="Times New Roman"/>
          <w:color w:val="auto"/>
          <w:kern w:val="0"/>
          <w:sz w:val="32"/>
          <w:szCs w:val="32"/>
          <w:lang w:val="en-US" w:eastAsia="zh-CN"/>
        </w:rPr>
        <w:t>107.66</w:t>
      </w:r>
      <w:r>
        <w:rPr>
          <w:rFonts w:hint="default" w:ascii="Times New Roman" w:hAnsi="Times New Roman" w:eastAsia="仿宋_GB2312" w:cs="Times New Roman"/>
          <w:color w:val="auto"/>
          <w:kern w:val="0"/>
          <w:sz w:val="32"/>
          <w:szCs w:val="32"/>
        </w:rPr>
        <w:t>%。决算数与年初预算数的差异原因：</w:t>
      </w:r>
      <w:r>
        <w:rPr>
          <w:rFonts w:hint="eastAsia" w:eastAsia="仿宋_GB2312" w:cs="Times New Roman"/>
          <w:color w:val="auto"/>
          <w:kern w:val="0"/>
          <w:sz w:val="32"/>
          <w:szCs w:val="32"/>
          <w:lang w:val="en-US" w:eastAsia="zh-CN"/>
        </w:rPr>
        <w:t>本年度医疗保险缴费基数调整</w:t>
      </w:r>
      <w:r>
        <w:rPr>
          <w:rFonts w:hint="default" w:ascii="Times New Roman" w:hAnsi="Times New Roman" w:eastAsia="仿宋_GB2312" w:cs="Times New Roman"/>
          <w:color w:val="auto"/>
          <w:kern w:val="0"/>
          <w:sz w:val="32"/>
          <w:szCs w:val="32"/>
        </w:rPr>
        <w:t>。</w:t>
      </w:r>
    </w:p>
    <w:p>
      <w:pPr>
        <w:keepNext w:val="0"/>
        <w:keepLines w:val="0"/>
        <w:pageBreakBefore w:val="0"/>
        <w:widowControl/>
        <w:kinsoku/>
        <w:wordWrap/>
        <w:overflowPunct/>
        <w:topLinePunct w:val="0"/>
        <w:autoSpaceDE/>
        <w:autoSpaceDN/>
        <w:bidi w:val="0"/>
        <w:adjustRightInd/>
        <w:snapToGrid/>
        <w:spacing w:line="560" w:lineRule="exact"/>
        <w:ind w:firstLine="640" w:firstLineChars="200"/>
        <w:textAlignment w:val="auto"/>
        <w:rPr>
          <w:rFonts w:hint="eastAsia" w:eastAsia="仿宋_GB2312" w:cs="Times New Roman"/>
          <w:color w:val="auto"/>
          <w:kern w:val="0"/>
          <w:sz w:val="32"/>
          <w:szCs w:val="32"/>
          <w:lang w:val="en-US" w:eastAsia="zh-CN"/>
        </w:rPr>
      </w:pPr>
      <w:r>
        <w:rPr>
          <w:rFonts w:hint="eastAsia" w:eastAsia="仿宋_GB2312" w:cs="Times New Roman"/>
          <w:color w:val="auto"/>
          <w:kern w:val="0"/>
          <w:sz w:val="32"/>
          <w:szCs w:val="32"/>
          <w:lang w:val="en-US" w:eastAsia="zh-CN"/>
        </w:rPr>
        <w:t>2.</w:t>
      </w:r>
      <w:r>
        <w:rPr>
          <w:rFonts w:hint="default" w:ascii="Times New Roman" w:hAnsi="Times New Roman" w:eastAsia="仿宋_GB2312" w:cs="Times New Roman"/>
          <w:color w:val="auto"/>
          <w:kern w:val="0"/>
          <w:sz w:val="32"/>
          <w:szCs w:val="32"/>
        </w:rPr>
        <w:t>行政事业单位医疗（款）公务员医疗补助（项）。年初预算</w:t>
      </w:r>
      <w:r>
        <w:rPr>
          <w:rFonts w:hint="eastAsia" w:eastAsia="仿宋_GB2312" w:cs="Times New Roman"/>
          <w:color w:val="auto"/>
          <w:kern w:val="0"/>
          <w:sz w:val="32"/>
          <w:szCs w:val="32"/>
          <w:lang w:val="en-US" w:eastAsia="zh-CN"/>
        </w:rPr>
        <w:t>67.93</w:t>
      </w:r>
      <w:r>
        <w:rPr>
          <w:rFonts w:hint="default" w:ascii="Times New Roman" w:hAnsi="Times New Roman" w:eastAsia="仿宋_GB2312" w:cs="Times New Roman"/>
          <w:color w:val="auto"/>
          <w:kern w:val="0"/>
          <w:sz w:val="32"/>
          <w:szCs w:val="32"/>
        </w:rPr>
        <w:t>万元，支出决算</w:t>
      </w:r>
      <w:r>
        <w:rPr>
          <w:rFonts w:hint="eastAsia" w:eastAsia="仿宋_GB2312" w:cs="Times New Roman"/>
          <w:color w:val="auto"/>
          <w:kern w:val="0"/>
          <w:sz w:val="32"/>
          <w:szCs w:val="32"/>
          <w:lang w:val="en-US" w:eastAsia="zh-CN"/>
        </w:rPr>
        <w:t>51.23</w:t>
      </w:r>
      <w:r>
        <w:rPr>
          <w:rFonts w:hint="default" w:ascii="Times New Roman" w:hAnsi="Times New Roman" w:eastAsia="仿宋_GB2312" w:cs="Times New Roman"/>
          <w:color w:val="auto"/>
          <w:kern w:val="0"/>
          <w:sz w:val="32"/>
          <w:szCs w:val="32"/>
        </w:rPr>
        <w:t>万元，完成年初预算的</w:t>
      </w:r>
      <w:r>
        <w:rPr>
          <w:rFonts w:hint="eastAsia" w:eastAsia="仿宋_GB2312" w:cs="Times New Roman"/>
          <w:color w:val="auto"/>
          <w:kern w:val="0"/>
          <w:sz w:val="32"/>
          <w:szCs w:val="32"/>
          <w:lang w:val="en-US" w:eastAsia="zh-CN"/>
        </w:rPr>
        <w:t>75.42</w:t>
      </w:r>
      <w:r>
        <w:rPr>
          <w:rFonts w:hint="default" w:ascii="Times New Roman" w:hAnsi="Times New Roman" w:eastAsia="仿宋_GB2312" w:cs="Times New Roman"/>
          <w:color w:val="auto"/>
          <w:kern w:val="0"/>
          <w:sz w:val="32"/>
          <w:szCs w:val="32"/>
        </w:rPr>
        <w:t>%。决算数与年初预算数的差异原因</w:t>
      </w:r>
      <w:r>
        <w:rPr>
          <w:rFonts w:hint="eastAsia" w:eastAsia="仿宋_GB2312" w:cs="Times New Roman"/>
          <w:color w:val="auto"/>
          <w:kern w:val="0"/>
          <w:sz w:val="32"/>
          <w:szCs w:val="32"/>
          <w:lang w:eastAsia="zh-CN"/>
        </w:rPr>
        <w:t>：</w:t>
      </w:r>
      <w:r>
        <w:rPr>
          <w:rFonts w:hint="eastAsia" w:eastAsia="仿宋_GB2312" w:cs="Times New Roman"/>
          <w:color w:val="auto"/>
          <w:kern w:val="0"/>
          <w:sz w:val="32"/>
          <w:szCs w:val="32"/>
          <w:lang w:val="en-US" w:eastAsia="zh-CN"/>
        </w:rPr>
        <w:t>本年度新增退休人员。</w:t>
      </w:r>
    </w:p>
    <w:p>
      <w:pPr>
        <w:keepNext w:val="0"/>
        <w:keepLines w:val="0"/>
        <w:pageBreakBefore w:val="0"/>
        <w:widowControl/>
        <w:kinsoku/>
        <w:wordWrap/>
        <w:overflowPunct/>
        <w:topLinePunct w:val="0"/>
        <w:autoSpaceDE/>
        <w:autoSpaceDN/>
        <w:bidi w:val="0"/>
        <w:adjustRightInd/>
        <w:snapToGrid/>
        <w:spacing w:line="560" w:lineRule="exact"/>
        <w:ind w:firstLine="643" w:firstLineChars="200"/>
        <w:textAlignment w:val="auto"/>
        <w:rPr>
          <w:rFonts w:hint="eastAsia"/>
        </w:rPr>
      </w:pPr>
      <w:r>
        <w:rPr>
          <w:rFonts w:hint="eastAsia" w:ascii="楷体_GB2312" w:hAnsi="楷体_GB2312" w:eastAsia="楷体_GB2312" w:cs="楷体_GB2312"/>
          <w:b/>
          <w:bCs/>
          <w:kern w:val="0"/>
          <w:sz w:val="32"/>
          <w:szCs w:val="32"/>
        </w:rPr>
        <w:t>（</w:t>
      </w:r>
      <w:r>
        <w:rPr>
          <w:rFonts w:hint="eastAsia" w:ascii="楷体_GB2312" w:hAnsi="楷体_GB2312" w:eastAsia="楷体_GB2312" w:cs="楷体_GB2312"/>
          <w:b/>
          <w:bCs/>
          <w:kern w:val="0"/>
          <w:sz w:val="32"/>
          <w:szCs w:val="32"/>
          <w:lang w:eastAsia="zh-CN"/>
        </w:rPr>
        <w:t>四</w:t>
      </w:r>
      <w:r>
        <w:rPr>
          <w:rFonts w:hint="eastAsia" w:ascii="楷体_GB2312" w:hAnsi="楷体_GB2312" w:eastAsia="楷体_GB2312" w:cs="楷体_GB2312"/>
          <w:b/>
          <w:bCs/>
          <w:kern w:val="0"/>
          <w:sz w:val="32"/>
          <w:szCs w:val="32"/>
        </w:rPr>
        <w:t>）住房保障支出（类）</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住房保障支出类决算数为</w:t>
      </w:r>
      <w:r>
        <w:rPr>
          <w:rFonts w:hint="eastAsia" w:eastAsia="仿宋_GB2312" w:cs="Times New Roman"/>
          <w:kern w:val="0"/>
          <w:sz w:val="32"/>
          <w:szCs w:val="32"/>
          <w:lang w:val="en-US" w:eastAsia="zh-CN"/>
        </w:rPr>
        <w:t>187.61</w:t>
      </w:r>
      <w:r>
        <w:rPr>
          <w:rFonts w:hint="default" w:ascii="Times New Roman" w:hAnsi="Times New Roman" w:eastAsia="仿宋_GB2312" w:cs="Times New Roman"/>
          <w:kern w:val="0"/>
          <w:sz w:val="32"/>
          <w:szCs w:val="32"/>
        </w:rPr>
        <w:t>万元，与年初预算相比</w:t>
      </w:r>
      <w:r>
        <w:rPr>
          <w:rFonts w:hint="eastAsia" w:eastAsia="仿宋_GB2312" w:cs="Times New Roman"/>
          <w:kern w:val="0"/>
          <w:sz w:val="32"/>
          <w:szCs w:val="32"/>
          <w:lang w:val="en-US" w:eastAsia="zh-CN"/>
        </w:rPr>
        <w:t>减少7.41</w:t>
      </w:r>
      <w:r>
        <w:rPr>
          <w:rFonts w:hint="default" w:ascii="Times New Roman" w:hAnsi="Times New Roman" w:eastAsia="仿宋_GB2312" w:cs="Times New Roman"/>
          <w:kern w:val="0"/>
          <w:sz w:val="32"/>
          <w:szCs w:val="32"/>
        </w:rPr>
        <w:t>万元。其中：</w:t>
      </w:r>
    </w:p>
    <w:p>
      <w:pPr>
        <w:keepNext w:val="0"/>
        <w:keepLines w:val="0"/>
        <w:pageBreakBefore w:val="0"/>
        <w:widowControl/>
        <w:kinsoku/>
        <w:wordWrap/>
        <w:overflowPunct/>
        <w:topLinePunct w:val="0"/>
        <w:autoSpaceDE w:val="0"/>
        <w:autoSpaceDN/>
        <w:bidi w:val="0"/>
        <w:adjustRightInd/>
        <w:snapToGrid/>
        <w:spacing w:line="560" w:lineRule="exact"/>
        <w:ind w:firstLine="640" w:firstLineChars="200"/>
        <w:textAlignment w:val="auto"/>
        <w:rPr>
          <w:rFonts w:eastAsia="仿宋_GB2312" w:cs="仿宋_GB2312"/>
          <w:color w:val="auto"/>
          <w:sz w:val="32"/>
          <w:szCs w:val="32"/>
        </w:rPr>
      </w:pPr>
      <w:r>
        <w:rPr>
          <w:rFonts w:hint="default" w:ascii="Times New Roman" w:hAnsi="Times New Roman" w:eastAsia="仿宋_GB2312" w:cs="Times New Roman"/>
          <w:color w:val="auto"/>
          <w:kern w:val="0"/>
          <w:sz w:val="32"/>
          <w:szCs w:val="32"/>
        </w:rPr>
        <w:t>住房改革支出（款）住房公积金（项）。年初预算</w:t>
      </w:r>
      <w:r>
        <w:rPr>
          <w:rFonts w:hint="eastAsia" w:eastAsia="仿宋_GB2312" w:cs="Times New Roman"/>
          <w:color w:val="auto"/>
          <w:kern w:val="0"/>
          <w:sz w:val="32"/>
          <w:szCs w:val="32"/>
          <w:lang w:val="en-US" w:eastAsia="zh-CN"/>
        </w:rPr>
        <w:t>195.02</w:t>
      </w:r>
      <w:r>
        <w:rPr>
          <w:rFonts w:hint="default" w:ascii="Times New Roman" w:hAnsi="Times New Roman" w:eastAsia="仿宋_GB2312" w:cs="Times New Roman"/>
          <w:color w:val="auto"/>
          <w:kern w:val="0"/>
          <w:sz w:val="32"/>
          <w:szCs w:val="32"/>
        </w:rPr>
        <w:t>万元，支出决算</w:t>
      </w:r>
      <w:r>
        <w:rPr>
          <w:rFonts w:hint="eastAsia" w:eastAsia="仿宋_GB2312" w:cs="Times New Roman"/>
          <w:color w:val="auto"/>
          <w:kern w:val="0"/>
          <w:sz w:val="32"/>
          <w:szCs w:val="32"/>
          <w:lang w:val="en-US" w:eastAsia="zh-CN"/>
        </w:rPr>
        <w:t>187.61</w:t>
      </w:r>
      <w:r>
        <w:rPr>
          <w:rFonts w:hint="default" w:ascii="Times New Roman" w:hAnsi="Times New Roman" w:eastAsia="仿宋_GB2312" w:cs="Times New Roman"/>
          <w:color w:val="auto"/>
          <w:kern w:val="0"/>
          <w:sz w:val="32"/>
          <w:szCs w:val="32"/>
        </w:rPr>
        <w:t>万元，完成年初预算的</w:t>
      </w:r>
      <w:r>
        <w:rPr>
          <w:rFonts w:hint="eastAsia" w:eastAsia="仿宋_GB2312" w:cs="Times New Roman"/>
          <w:color w:val="auto"/>
          <w:kern w:val="0"/>
          <w:sz w:val="32"/>
          <w:szCs w:val="32"/>
          <w:lang w:val="en-US" w:eastAsia="zh-CN"/>
        </w:rPr>
        <w:t>96.20</w:t>
      </w:r>
      <w:r>
        <w:rPr>
          <w:rFonts w:hint="default" w:ascii="Times New Roman" w:hAnsi="Times New Roman" w:eastAsia="仿宋_GB2312" w:cs="Times New Roman"/>
          <w:color w:val="auto"/>
          <w:kern w:val="0"/>
          <w:sz w:val="32"/>
          <w:szCs w:val="32"/>
        </w:rPr>
        <w:t>%。决算数与年初预算数的差异原因：</w:t>
      </w:r>
      <w:r>
        <w:rPr>
          <w:rFonts w:hint="eastAsia" w:eastAsia="仿宋_GB2312" w:cs="Times New Roman"/>
          <w:color w:val="auto"/>
          <w:kern w:val="0"/>
          <w:sz w:val="32"/>
          <w:szCs w:val="32"/>
          <w:lang w:val="en-US" w:eastAsia="zh-CN"/>
        </w:rPr>
        <w:t>本年度新增退休人员。</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eastAsia" w:ascii="黑体" w:hAnsi="黑体" w:eastAsia="黑体" w:cs="黑体"/>
          <w:b w:val="0"/>
          <w:bCs w:val="0"/>
          <w:kern w:val="0"/>
          <w:sz w:val="32"/>
          <w:szCs w:val="32"/>
        </w:rPr>
        <w:t>六、一般公共预算财政拨款基本支出决算情况说明</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rPr>
      </w:pPr>
      <w:r>
        <w:rPr>
          <w:rFonts w:hint="default" w:ascii="Times New Roman" w:hAnsi="Times New Roman" w:eastAsia="仿宋_GB2312" w:cs="Times New Roman"/>
          <w:kern w:val="0"/>
          <w:sz w:val="32"/>
          <w:szCs w:val="32"/>
        </w:rPr>
        <w:t>内蒙古</w:t>
      </w:r>
      <w:r>
        <w:rPr>
          <w:rFonts w:hint="eastAsia" w:eastAsia="仿宋_GB2312" w:cs="Times New Roman"/>
          <w:kern w:val="0"/>
          <w:sz w:val="32"/>
          <w:szCs w:val="32"/>
          <w:lang w:val="en-US" w:eastAsia="zh-CN"/>
        </w:rPr>
        <w:t>大兴安岭森林公安局莫尔道嘎分局</w:t>
      </w:r>
      <w:r>
        <w:rPr>
          <w:rFonts w:hint="default" w:ascii="Times New Roman" w:hAnsi="Times New Roman" w:eastAsia="仿宋_GB2312" w:cs="Times New Roman"/>
          <w:kern w:val="0"/>
          <w:sz w:val="32"/>
          <w:szCs w:val="32"/>
        </w:rPr>
        <w:t>202</w:t>
      </w:r>
      <w:r>
        <w:rPr>
          <w:rFonts w:hint="eastAsia" w:eastAsia="仿宋_GB2312" w:cs="Times New Roman"/>
          <w:kern w:val="0"/>
          <w:sz w:val="32"/>
          <w:szCs w:val="32"/>
          <w:lang w:val="en-US" w:eastAsia="zh-CN"/>
        </w:rPr>
        <w:t>5</w:t>
      </w:r>
      <w:r>
        <w:rPr>
          <w:rFonts w:hint="default" w:ascii="Times New Roman" w:hAnsi="Times New Roman" w:eastAsia="仿宋_GB2312" w:cs="Times New Roman"/>
          <w:kern w:val="0"/>
          <w:sz w:val="32"/>
          <w:szCs w:val="32"/>
        </w:rPr>
        <w:t>年度一般公共预算财政拨款基本支出决算</w:t>
      </w:r>
      <w:r>
        <w:rPr>
          <w:rFonts w:hint="eastAsia" w:eastAsia="仿宋_GB2312" w:cs="Times New Roman"/>
          <w:kern w:val="0"/>
          <w:sz w:val="32"/>
          <w:szCs w:val="32"/>
          <w:lang w:val="en-US" w:eastAsia="zh-CN"/>
        </w:rPr>
        <w:t>2,474.92</w:t>
      </w:r>
      <w:r>
        <w:rPr>
          <w:rFonts w:hint="default" w:ascii="Times New Roman" w:hAnsi="Times New Roman" w:eastAsia="仿宋_GB2312" w:cs="Times New Roman"/>
          <w:kern w:val="0"/>
          <w:sz w:val="32"/>
          <w:szCs w:val="32"/>
        </w:rPr>
        <w:t>万元，其中：</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jc w:val="both"/>
        <w:textAlignment w:val="auto"/>
        <w:rPr>
          <w:rFonts w:hint="default"/>
        </w:rPr>
      </w:pPr>
      <w:r>
        <w:rPr>
          <w:rFonts w:hint="eastAsia" w:ascii="楷体_GB2312" w:hAnsi="楷体_GB2312" w:eastAsia="楷体_GB2312" w:cs="楷体_GB2312"/>
          <w:b/>
          <w:bCs/>
          <w:kern w:val="0"/>
          <w:sz w:val="32"/>
          <w:szCs w:val="32"/>
          <w:lang w:eastAsia="zh-CN"/>
        </w:rPr>
        <w:t>（一）</w:t>
      </w:r>
      <w:r>
        <w:rPr>
          <w:rFonts w:hint="eastAsia" w:ascii="楷体_GB2312" w:hAnsi="楷体_GB2312" w:eastAsia="楷体_GB2312" w:cs="楷体_GB2312"/>
          <w:b/>
          <w:bCs/>
          <w:kern w:val="0"/>
          <w:sz w:val="32"/>
          <w:szCs w:val="32"/>
        </w:rPr>
        <w:t>人员经费</w:t>
      </w:r>
      <w:r>
        <w:rPr>
          <w:rFonts w:hint="default" w:ascii="Times New Roman" w:hAnsi="Times New Roman" w:eastAsia="楷体_GB2312" w:cs="Times New Roman"/>
          <w:b/>
          <w:bCs/>
          <w:kern w:val="0"/>
          <w:sz w:val="32"/>
          <w:szCs w:val="32"/>
          <w:lang w:val="en-US" w:eastAsia="zh-CN"/>
        </w:rPr>
        <w:t>2,</w:t>
      </w:r>
      <w:r>
        <w:rPr>
          <w:rFonts w:hint="eastAsia" w:eastAsia="楷体_GB2312" w:cs="Times New Roman"/>
          <w:b/>
          <w:bCs/>
          <w:kern w:val="0"/>
          <w:sz w:val="32"/>
          <w:szCs w:val="32"/>
          <w:lang w:val="en-US" w:eastAsia="zh-CN"/>
        </w:rPr>
        <w:t>142.59</w:t>
      </w:r>
      <w:r>
        <w:rPr>
          <w:rFonts w:hint="eastAsia" w:ascii="楷体_GB2312" w:hAnsi="楷体_GB2312" w:eastAsia="楷体_GB2312" w:cs="楷体_GB2312"/>
          <w:b/>
          <w:bCs/>
          <w:kern w:val="0"/>
          <w:sz w:val="32"/>
          <w:szCs w:val="32"/>
        </w:rPr>
        <w:t>万元。</w:t>
      </w:r>
      <w:r>
        <w:rPr>
          <w:rFonts w:hint="default" w:ascii="Times New Roman" w:hAnsi="Times New Roman" w:eastAsia="仿宋_GB2312" w:cs="Times New Roman"/>
          <w:kern w:val="0"/>
          <w:sz w:val="32"/>
          <w:szCs w:val="32"/>
        </w:rPr>
        <w:t>主要包括：基本工资</w:t>
      </w:r>
      <w:r>
        <w:rPr>
          <w:rFonts w:hint="eastAsia" w:eastAsia="仿宋_GB2312" w:cs="Times New Roman"/>
          <w:kern w:val="0"/>
          <w:sz w:val="32"/>
          <w:szCs w:val="32"/>
          <w:lang w:val="en-US" w:eastAsia="zh-CN"/>
        </w:rPr>
        <w:t>462.44万元</w:t>
      </w:r>
      <w:r>
        <w:rPr>
          <w:rFonts w:hint="default" w:ascii="Times New Roman" w:hAnsi="Times New Roman" w:eastAsia="仿宋_GB2312" w:cs="Times New Roman"/>
          <w:kern w:val="0"/>
          <w:sz w:val="32"/>
          <w:szCs w:val="32"/>
        </w:rPr>
        <w:t>、津贴补贴</w:t>
      </w:r>
      <w:r>
        <w:rPr>
          <w:rFonts w:hint="eastAsia" w:eastAsia="仿宋_GB2312" w:cs="Times New Roman"/>
          <w:kern w:val="0"/>
          <w:sz w:val="32"/>
          <w:szCs w:val="32"/>
          <w:lang w:val="en-US" w:eastAsia="zh-CN"/>
        </w:rPr>
        <w:t>860.86万元</w:t>
      </w:r>
      <w:r>
        <w:rPr>
          <w:rFonts w:hint="default" w:ascii="Times New Roman" w:hAnsi="Times New Roman" w:eastAsia="仿宋_GB2312" w:cs="Times New Roman"/>
          <w:kern w:val="0"/>
          <w:sz w:val="32"/>
          <w:szCs w:val="32"/>
        </w:rPr>
        <w:t>、奖金</w:t>
      </w:r>
      <w:r>
        <w:rPr>
          <w:rFonts w:hint="eastAsia" w:eastAsia="仿宋_GB2312" w:cs="Times New Roman"/>
          <w:kern w:val="0"/>
          <w:sz w:val="32"/>
          <w:szCs w:val="32"/>
          <w:lang w:val="en-US" w:eastAsia="zh-CN"/>
        </w:rPr>
        <w:t>113.01万元</w:t>
      </w:r>
      <w:r>
        <w:rPr>
          <w:rFonts w:hint="default" w:ascii="Times New Roman" w:hAnsi="Times New Roman" w:eastAsia="仿宋_GB2312" w:cs="Times New Roman"/>
          <w:kern w:val="0"/>
          <w:sz w:val="32"/>
          <w:szCs w:val="32"/>
        </w:rPr>
        <w:t>、</w:t>
      </w:r>
      <w:r>
        <w:rPr>
          <w:rFonts w:hint="eastAsia" w:eastAsia="仿宋_GB2312" w:cs="Times New Roman"/>
          <w:kern w:val="0"/>
          <w:sz w:val="32"/>
          <w:szCs w:val="32"/>
          <w:lang w:val="en-US" w:eastAsia="zh-CN"/>
        </w:rPr>
        <w:t>机关事业单位基本养老保险缴费149.09万元</w:t>
      </w:r>
      <w:r>
        <w:rPr>
          <w:rFonts w:hint="default" w:ascii="Times New Roman" w:hAnsi="Times New Roman" w:eastAsia="仿宋_GB2312" w:cs="Times New Roman"/>
          <w:kern w:val="0"/>
          <w:sz w:val="32"/>
          <w:szCs w:val="32"/>
        </w:rPr>
        <w:t>、</w:t>
      </w:r>
      <w:r>
        <w:rPr>
          <w:rFonts w:hint="eastAsia" w:eastAsia="仿宋_GB2312" w:cs="Times New Roman"/>
          <w:kern w:val="0"/>
          <w:sz w:val="32"/>
          <w:szCs w:val="32"/>
          <w:lang w:val="en-US" w:eastAsia="zh-CN"/>
        </w:rPr>
        <w:t>职业年金缴费75.62万元、职工基本医疗保险缴费100.39万元、公务员医疗补助缴费51.23万元、</w:t>
      </w:r>
      <w:r>
        <w:rPr>
          <w:rFonts w:hint="default" w:ascii="Times New Roman" w:hAnsi="Times New Roman" w:eastAsia="仿宋_GB2312" w:cs="Times New Roman"/>
          <w:kern w:val="0"/>
          <w:sz w:val="32"/>
          <w:szCs w:val="32"/>
        </w:rPr>
        <w:t>住房公积金</w:t>
      </w:r>
      <w:r>
        <w:rPr>
          <w:rFonts w:hint="eastAsia" w:eastAsia="仿宋_GB2312" w:cs="Times New Roman"/>
          <w:kern w:val="0"/>
          <w:sz w:val="32"/>
          <w:szCs w:val="32"/>
          <w:lang w:val="en-US" w:eastAsia="zh-CN"/>
        </w:rPr>
        <w:t>187.61万元、其他社会保障缴费2.45万元、</w:t>
      </w:r>
      <w:r>
        <w:rPr>
          <w:rFonts w:hint="default" w:ascii="Times New Roman" w:hAnsi="Times New Roman" w:eastAsia="仿宋_GB2312" w:cs="Times New Roman"/>
          <w:kern w:val="0"/>
          <w:sz w:val="32"/>
          <w:szCs w:val="32"/>
        </w:rPr>
        <w:t>其他工资福利支出</w:t>
      </w:r>
      <w:r>
        <w:rPr>
          <w:rFonts w:hint="eastAsia" w:eastAsia="仿宋_GB2312" w:cs="Times New Roman"/>
          <w:kern w:val="0"/>
          <w:sz w:val="32"/>
          <w:szCs w:val="32"/>
          <w:lang w:val="en-US" w:eastAsia="zh-CN"/>
        </w:rPr>
        <w:t>费86.25万元</w:t>
      </w:r>
      <w:r>
        <w:rPr>
          <w:rFonts w:hint="default" w:ascii="Times New Roman" w:hAnsi="Times New Roman" w:eastAsia="仿宋_GB2312" w:cs="Times New Roman"/>
          <w:kern w:val="0"/>
          <w:sz w:val="32"/>
          <w:szCs w:val="32"/>
        </w:rPr>
        <w:t>、退休费</w:t>
      </w:r>
      <w:r>
        <w:rPr>
          <w:rFonts w:hint="eastAsia" w:eastAsia="仿宋_GB2312" w:cs="Times New Roman"/>
          <w:kern w:val="0"/>
          <w:sz w:val="32"/>
          <w:szCs w:val="32"/>
          <w:lang w:val="en-US" w:eastAsia="zh-CN"/>
        </w:rPr>
        <w:t>53.65万元</w:t>
      </w:r>
      <w:r>
        <w:rPr>
          <w:rFonts w:hint="default" w:ascii="Times New Roman" w:hAnsi="Times New Roman" w:eastAsia="仿宋_GB2312" w:cs="Times New Roman"/>
          <w:kern w:val="0"/>
          <w:sz w:val="32"/>
          <w:szCs w:val="32"/>
        </w:rPr>
        <w:t>。</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jc w:val="both"/>
        <w:textAlignment w:val="auto"/>
        <w:rPr>
          <w:rFonts w:hint="default"/>
        </w:rPr>
      </w:pPr>
      <w:r>
        <w:rPr>
          <w:rFonts w:hint="eastAsia" w:ascii="楷体_GB2312" w:hAnsi="楷体_GB2312" w:eastAsia="楷体_GB2312" w:cs="楷体_GB2312"/>
          <w:b/>
          <w:bCs/>
          <w:kern w:val="0"/>
          <w:sz w:val="32"/>
          <w:szCs w:val="32"/>
          <w:lang w:eastAsia="zh-CN"/>
        </w:rPr>
        <w:t>（二）</w:t>
      </w:r>
      <w:r>
        <w:rPr>
          <w:rFonts w:hint="eastAsia" w:ascii="楷体_GB2312" w:hAnsi="楷体_GB2312" w:eastAsia="楷体_GB2312" w:cs="楷体_GB2312"/>
          <w:b/>
          <w:bCs/>
          <w:kern w:val="0"/>
          <w:sz w:val="32"/>
          <w:szCs w:val="32"/>
        </w:rPr>
        <w:t>公用经费</w:t>
      </w:r>
      <w:r>
        <w:rPr>
          <w:rFonts w:hint="default" w:ascii="Times New Roman" w:hAnsi="Times New Roman" w:eastAsia="楷体_GB2312" w:cs="Times New Roman"/>
          <w:b/>
          <w:bCs/>
          <w:kern w:val="0"/>
          <w:sz w:val="32"/>
          <w:szCs w:val="32"/>
          <w:lang w:val="en-US" w:eastAsia="zh-CN"/>
        </w:rPr>
        <w:t>3</w:t>
      </w:r>
      <w:r>
        <w:rPr>
          <w:rFonts w:hint="eastAsia" w:eastAsia="楷体_GB2312" w:cs="Times New Roman"/>
          <w:b/>
          <w:bCs/>
          <w:kern w:val="0"/>
          <w:sz w:val="32"/>
          <w:szCs w:val="32"/>
          <w:lang w:val="en-US" w:eastAsia="zh-CN"/>
        </w:rPr>
        <w:t>32.34</w:t>
      </w:r>
      <w:r>
        <w:rPr>
          <w:rFonts w:hint="eastAsia" w:ascii="楷体_GB2312" w:hAnsi="楷体_GB2312" w:eastAsia="楷体_GB2312" w:cs="楷体_GB2312"/>
          <w:b/>
          <w:bCs/>
          <w:kern w:val="0"/>
          <w:sz w:val="32"/>
          <w:szCs w:val="32"/>
        </w:rPr>
        <w:t>万元。</w:t>
      </w:r>
      <w:r>
        <w:rPr>
          <w:rFonts w:hint="default" w:ascii="Times New Roman" w:hAnsi="Times New Roman" w:eastAsia="仿宋_GB2312" w:cs="Times New Roman"/>
          <w:kern w:val="0"/>
          <w:sz w:val="32"/>
          <w:szCs w:val="32"/>
        </w:rPr>
        <w:t>主要包括：办公费</w:t>
      </w:r>
      <w:r>
        <w:rPr>
          <w:rFonts w:hint="eastAsia" w:eastAsia="仿宋_GB2312" w:cs="Times New Roman"/>
          <w:kern w:val="0"/>
          <w:sz w:val="32"/>
          <w:szCs w:val="32"/>
          <w:lang w:val="en-US" w:eastAsia="zh-CN"/>
        </w:rPr>
        <w:t>16.70</w:t>
      </w:r>
      <w:r>
        <w:rPr>
          <w:rFonts w:hint="eastAsia" w:ascii="Times New Roman" w:hAnsi="Times New Roman" w:eastAsia="仿宋_GB2312" w:cs="Times New Roman"/>
          <w:kern w:val="0"/>
          <w:sz w:val="32"/>
          <w:szCs w:val="32"/>
          <w:lang w:val="en-US" w:eastAsia="zh-CN"/>
        </w:rPr>
        <w:t>万元</w:t>
      </w:r>
      <w:r>
        <w:rPr>
          <w:rFonts w:hint="default" w:ascii="Times New Roman" w:hAnsi="Times New Roman" w:eastAsia="仿宋_GB2312" w:cs="Times New Roman"/>
          <w:kern w:val="0"/>
          <w:sz w:val="32"/>
          <w:szCs w:val="32"/>
        </w:rPr>
        <w:t>、电费</w:t>
      </w:r>
      <w:r>
        <w:rPr>
          <w:rFonts w:hint="eastAsia" w:ascii="Times New Roman" w:hAnsi="Times New Roman" w:eastAsia="仿宋_GB2312" w:cs="Times New Roman"/>
          <w:kern w:val="0"/>
          <w:sz w:val="32"/>
          <w:szCs w:val="32"/>
          <w:lang w:val="en-US" w:eastAsia="zh-CN"/>
        </w:rPr>
        <w:t>1</w:t>
      </w:r>
      <w:r>
        <w:rPr>
          <w:rFonts w:hint="eastAsia" w:eastAsia="仿宋_GB2312" w:cs="Times New Roman"/>
          <w:kern w:val="0"/>
          <w:sz w:val="32"/>
          <w:szCs w:val="32"/>
          <w:lang w:val="en-US" w:eastAsia="zh-CN"/>
        </w:rPr>
        <w:t>0</w:t>
      </w:r>
      <w:r>
        <w:rPr>
          <w:rFonts w:hint="eastAsia" w:ascii="Times New Roman" w:hAnsi="Times New Roman" w:eastAsia="仿宋_GB2312" w:cs="Times New Roman"/>
          <w:kern w:val="0"/>
          <w:sz w:val="32"/>
          <w:szCs w:val="32"/>
          <w:lang w:val="en-US" w:eastAsia="zh-CN"/>
        </w:rPr>
        <w:t>.00万元</w:t>
      </w:r>
      <w:r>
        <w:rPr>
          <w:rFonts w:hint="default" w:ascii="Times New Roman" w:hAnsi="Times New Roman" w:eastAsia="仿宋_GB2312" w:cs="Times New Roman"/>
          <w:kern w:val="0"/>
          <w:sz w:val="32"/>
          <w:szCs w:val="32"/>
        </w:rPr>
        <w:t>、邮电费</w:t>
      </w:r>
      <w:r>
        <w:rPr>
          <w:rFonts w:hint="eastAsia" w:eastAsia="仿宋_GB2312" w:cs="Times New Roman"/>
          <w:kern w:val="0"/>
          <w:sz w:val="32"/>
          <w:szCs w:val="32"/>
          <w:lang w:val="en-US" w:eastAsia="zh-CN"/>
        </w:rPr>
        <w:t>1.30</w:t>
      </w:r>
      <w:r>
        <w:rPr>
          <w:rFonts w:hint="eastAsia" w:ascii="Times New Roman" w:hAnsi="Times New Roman" w:eastAsia="仿宋_GB2312" w:cs="Times New Roman"/>
          <w:kern w:val="0"/>
          <w:sz w:val="32"/>
          <w:szCs w:val="32"/>
          <w:lang w:val="en-US" w:eastAsia="zh-CN"/>
        </w:rPr>
        <w:t>万元</w:t>
      </w:r>
      <w:r>
        <w:rPr>
          <w:rFonts w:hint="default" w:ascii="Times New Roman" w:hAnsi="Times New Roman" w:eastAsia="仿宋_GB2312" w:cs="Times New Roman"/>
          <w:kern w:val="0"/>
          <w:sz w:val="32"/>
          <w:szCs w:val="32"/>
        </w:rPr>
        <w:t>、取暖费</w:t>
      </w:r>
      <w:r>
        <w:rPr>
          <w:rFonts w:hint="eastAsia" w:ascii="Times New Roman" w:hAnsi="Times New Roman" w:eastAsia="仿宋_GB2312" w:cs="Times New Roman"/>
          <w:kern w:val="0"/>
          <w:sz w:val="32"/>
          <w:szCs w:val="32"/>
          <w:lang w:val="en-US" w:eastAsia="zh-CN"/>
        </w:rPr>
        <w:t>36.</w:t>
      </w:r>
      <w:r>
        <w:rPr>
          <w:rFonts w:hint="eastAsia" w:eastAsia="仿宋_GB2312" w:cs="Times New Roman"/>
          <w:kern w:val="0"/>
          <w:sz w:val="32"/>
          <w:szCs w:val="32"/>
          <w:lang w:val="en-US" w:eastAsia="zh-CN"/>
        </w:rPr>
        <w:t>40</w:t>
      </w:r>
      <w:r>
        <w:rPr>
          <w:rFonts w:hint="eastAsia" w:ascii="Times New Roman" w:hAnsi="Times New Roman" w:eastAsia="仿宋_GB2312" w:cs="Times New Roman"/>
          <w:kern w:val="0"/>
          <w:sz w:val="32"/>
          <w:szCs w:val="32"/>
          <w:lang w:val="en-US" w:eastAsia="zh-CN"/>
        </w:rPr>
        <w:t>万元</w:t>
      </w:r>
      <w:r>
        <w:rPr>
          <w:rFonts w:hint="default" w:ascii="Times New Roman" w:hAnsi="Times New Roman" w:eastAsia="仿宋_GB2312" w:cs="Times New Roman"/>
          <w:kern w:val="0"/>
          <w:sz w:val="32"/>
          <w:szCs w:val="32"/>
        </w:rPr>
        <w:t>、差旅费</w:t>
      </w:r>
      <w:r>
        <w:rPr>
          <w:rFonts w:hint="eastAsia" w:ascii="Times New Roman" w:hAnsi="Times New Roman" w:eastAsia="仿宋_GB2312" w:cs="Times New Roman"/>
          <w:kern w:val="0"/>
          <w:sz w:val="32"/>
          <w:szCs w:val="32"/>
          <w:lang w:val="en-US" w:eastAsia="zh-CN"/>
        </w:rPr>
        <w:t>10.00万元</w:t>
      </w:r>
      <w:r>
        <w:rPr>
          <w:rFonts w:hint="default" w:ascii="Times New Roman" w:hAnsi="Times New Roman" w:eastAsia="仿宋_GB2312" w:cs="Times New Roman"/>
          <w:kern w:val="0"/>
          <w:sz w:val="32"/>
          <w:szCs w:val="32"/>
        </w:rPr>
        <w:t>、维修（护）费</w:t>
      </w:r>
      <w:r>
        <w:rPr>
          <w:rFonts w:hint="eastAsia" w:eastAsia="仿宋_GB2312" w:cs="Times New Roman"/>
          <w:kern w:val="0"/>
          <w:sz w:val="32"/>
          <w:szCs w:val="32"/>
          <w:lang w:val="en-US" w:eastAsia="zh-CN"/>
        </w:rPr>
        <w:t>18.71</w:t>
      </w:r>
      <w:r>
        <w:rPr>
          <w:rFonts w:hint="eastAsia" w:ascii="Times New Roman" w:hAnsi="Times New Roman" w:eastAsia="仿宋_GB2312" w:cs="Times New Roman"/>
          <w:kern w:val="0"/>
          <w:sz w:val="32"/>
          <w:szCs w:val="32"/>
          <w:lang w:val="en-US" w:eastAsia="zh-CN"/>
        </w:rPr>
        <w:t>万元</w:t>
      </w:r>
      <w:r>
        <w:rPr>
          <w:rFonts w:hint="default" w:ascii="Times New Roman" w:hAnsi="Times New Roman" w:eastAsia="仿宋_GB2312" w:cs="Times New Roman"/>
          <w:kern w:val="0"/>
          <w:sz w:val="32"/>
          <w:szCs w:val="32"/>
        </w:rPr>
        <w:t>、培训费</w:t>
      </w:r>
      <w:r>
        <w:rPr>
          <w:rFonts w:hint="eastAsia" w:eastAsia="仿宋_GB2312" w:cs="Times New Roman"/>
          <w:kern w:val="0"/>
          <w:sz w:val="32"/>
          <w:szCs w:val="32"/>
          <w:lang w:val="en-US" w:eastAsia="zh-CN"/>
        </w:rPr>
        <w:t>19.27</w:t>
      </w:r>
      <w:r>
        <w:rPr>
          <w:rFonts w:hint="eastAsia" w:ascii="Times New Roman" w:hAnsi="Times New Roman" w:eastAsia="仿宋_GB2312" w:cs="Times New Roman"/>
          <w:kern w:val="0"/>
          <w:sz w:val="32"/>
          <w:szCs w:val="32"/>
          <w:lang w:val="en-US" w:eastAsia="zh-CN"/>
        </w:rPr>
        <w:t>万元</w:t>
      </w:r>
      <w:r>
        <w:rPr>
          <w:rFonts w:hint="default" w:ascii="Times New Roman" w:hAnsi="Times New Roman" w:eastAsia="仿宋_GB2312" w:cs="Times New Roman"/>
          <w:kern w:val="0"/>
          <w:sz w:val="32"/>
          <w:szCs w:val="32"/>
        </w:rPr>
        <w:t>、专用材料费</w:t>
      </w:r>
      <w:r>
        <w:rPr>
          <w:rFonts w:hint="eastAsia" w:eastAsia="仿宋_GB2312" w:cs="Times New Roman"/>
          <w:kern w:val="0"/>
          <w:sz w:val="32"/>
          <w:szCs w:val="32"/>
          <w:lang w:val="en-US" w:eastAsia="zh-CN"/>
        </w:rPr>
        <w:t>68.00</w:t>
      </w:r>
      <w:r>
        <w:rPr>
          <w:rFonts w:hint="eastAsia" w:ascii="Times New Roman" w:hAnsi="Times New Roman" w:eastAsia="仿宋_GB2312" w:cs="Times New Roman"/>
          <w:kern w:val="0"/>
          <w:sz w:val="32"/>
          <w:szCs w:val="32"/>
          <w:lang w:val="en-US" w:eastAsia="zh-CN"/>
        </w:rPr>
        <w:t>万元</w:t>
      </w:r>
      <w:r>
        <w:rPr>
          <w:rFonts w:hint="default" w:ascii="Times New Roman" w:hAnsi="Times New Roman" w:eastAsia="仿宋_GB2312" w:cs="Times New Roman"/>
          <w:kern w:val="0"/>
          <w:sz w:val="32"/>
          <w:szCs w:val="32"/>
        </w:rPr>
        <w:t>、劳务费</w:t>
      </w:r>
      <w:r>
        <w:rPr>
          <w:rFonts w:hint="eastAsia" w:eastAsia="仿宋_GB2312" w:cs="Times New Roman"/>
          <w:kern w:val="0"/>
          <w:sz w:val="32"/>
          <w:szCs w:val="32"/>
          <w:lang w:val="en-US" w:eastAsia="zh-CN"/>
        </w:rPr>
        <w:t>3.00</w:t>
      </w:r>
      <w:r>
        <w:rPr>
          <w:rFonts w:hint="eastAsia" w:ascii="Times New Roman" w:hAnsi="Times New Roman" w:eastAsia="仿宋_GB2312" w:cs="Times New Roman"/>
          <w:kern w:val="0"/>
          <w:sz w:val="32"/>
          <w:szCs w:val="32"/>
          <w:lang w:val="en-US" w:eastAsia="zh-CN"/>
        </w:rPr>
        <w:t>万元</w:t>
      </w:r>
      <w:r>
        <w:rPr>
          <w:rFonts w:hint="default" w:ascii="Times New Roman" w:hAnsi="Times New Roman" w:eastAsia="仿宋_GB2312" w:cs="Times New Roman"/>
          <w:kern w:val="0"/>
          <w:sz w:val="32"/>
          <w:szCs w:val="32"/>
        </w:rPr>
        <w:t>、工会经费</w:t>
      </w:r>
      <w:r>
        <w:rPr>
          <w:rFonts w:hint="eastAsia" w:ascii="Times New Roman" w:hAnsi="Times New Roman" w:eastAsia="仿宋_GB2312" w:cs="Times New Roman"/>
          <w:kern w:val="0"/>
          <w:sz w:val="32"/>
          <w:szCs w:val="32"/>
          <w:lang w:val="en-US" w:eastAsia="zh-CN"/>
        </w:rPr>
        <w:t>2</w:t>
      </w:r>
      <w:r>
        <w:rPr>
          <w:rFonts w:hint="eastAsia" w:eastAsia="仿宋_GB2312" w:cs="Times New Roman"/>
          <w:kern w:val="0"/>
          <w:sz w:val="32"/>
          <w:szCs w:val="32"/>
          <w:lang w:val="en-US" w:eastAsia="zh-CN"/>
        </w:rPr>
        <w:t>3.46</w:t>
      </w:r>
      <w:r>
        <w:rPr>
          <w:rFonts w:hint="eastAsia" w:ascii="Times New Roman" w:hAnsi="Times New Roman" w:eastAsia="仿宋_GB2312" w:cs="Times New Roman"/>
          <w:kern w:val="0"/>
          <w:sz w:val="32"/>
          <w:szCs w:val="32"/>
          <w:lang w:val="en-US" w:eastAsia="zh-CN"/>
        </w:rPr>
        <w:t>万元</w:t>
      </w:r>
      <w:r>
        <w:rPr>
          <w:rFonts w:hint="default" w:ascii="Times New Roman" w:hAnsi="Times New Roman" w:eastAsia="仿宋_GB2312" w:cs="Times New Roman"/>
          <w:kern w:val="0"/>
          <w:sz w:val="32"/>
          <w:szCs w:val="32"/>
        </w:rPr>
        <w:t>、福利费</w:t>
      </w:r>
      <w:r>
        <w:rPr>
          <w:rFonts w:hint="eastAsia" w:ascii="Times New Roman" w:hAnsi="Times New Roman" w:eastAsia="仿宋_GB2312" w:cs="Times New Roman"/>
          <w:kern w:val="0"/>
          <w:sz w:val="32"/>
          <w:szCs w:val="32"/>
          <w:lang w:val="en-US" w:eastAsia="zh-CN"/>
        </w:rPr>
        <w:t>3</w:t>
      </w:r>
      <w:r>
        <w:rPr>
          <w:rFonts w:hint="eastAsia" w:eastAsia="仿宋_GB2312" w:cs="Times New Roman"/>
          <w:kern w:val="0"/>
          <w:sz w:val="32"/>
          <w:szCs w:val="32"/>
          <w:lang w:val="en-US" w:eastAsia="zh-CN"/>
        </w:rPr>
        <w:t>0.05</w:t>
      </w:r>
      <w:r>
        <w:rPr>
          <w:rFonts w:hint="eastAsia" w:ascii="Times New Roman" w:hAnsi="Times New Roman" w:eastAsia="仿宋_GB2312" w:cs="Times New Roman"/>
          <w:kern w:val="0"/>
          <w:sz w:val="32"/>
          <w:szCs w:val="32"/>
          <w:lang w:val="en-US" w:eastAsia="zh-CN"/>
        </w:rPr>
        <w:t>万元</w:t>
      </w:r>
      <w:r>
        <w:rPr>
          <w:rFonts w:hint="default" w:ascii="Times New Roman" w:hAnsi="Times New Roman" w:eastAsia="仿宋_GB2312" w:cs="Times New Roman"/>
          <w:kern w:val="0"/>
          <w:sz w:val="32"/>
          <w:szCs w:val="32"/>
        </w:rPr>
        <w:t>、其他交通费用</w:t>
      </w:r>
      <w:r>
        <w:rPr>
          <w:rFonts w:hint="eastAsia" w:eastAsia="仿宋_GB2312" w:cs="Times New Roman"/>
          <w:kern w:val="0"/>
          <w:sz w:val="32"/>
          <w:szCs w:val="32"/>
          <w:lang w:val="en-US" w:eastAsia="zh-CN"/>
        </w:rPr>
        <w:t>71.78</w:t>
      </w:r>
      <w:r>
        <w:rPr>
          <w:rFonts w:hint="eastAsia" w:ascii="Times New Roman" w:hAnsi="Times New Roman" w:eastAsia="仿宋_GB2312" w:cs="Times New Roman"/>
          <w:kern w:val="0"/>
          <w:sz w:val="32"/>
          <w:szCs w:val="32"/>
          <w:lang w:val="en-US" w:eastAsia="zh-CN"/>
        </w:rPr>
        <w:t>万元</w:t>
      </w:r>
      <w:r>
        <w:rPr>
          <w:rFonts w:hint="default" w:ascii="Times New Roman" w:hAnsi="Times New Roman" w:eastAsia="仿宋_GB2312" w:cs="Times New Roman"/>
          <w:kern w:val="0"/>
          <w:sz w:val="32"/>
          <w:szCs w:val="32"/>
        </w:rPr>
        <w:t>、其他商品和服务支出</w:t>
      </w:r>
      <w:r>
        <w:rPr>
          <w:rFonts w:hint="eastAsia" w:eastAsia="仿宋_GB2312" w:cs="Times New Roman"/>
          <w:kern w:val="0"/>
          <w:sz w:val="32"/>
          <w:szCs w:val="32"/>
          <w:lang w:val="en-US" w:eastAsia="zh-CN"/>
        </w:rPr>
        <w:t>20.67</w:t>
      </w:r>
      <w:r>
        <w:rPr>
          <w:rFonts w:hint="eastAsia" w:ascii="Times New Roman" w:hAnsi="Times New Roman" w:eastAsia="仿宋_GB2312" w:cs="Times New Roman"/>
          <w:kern w:val="0"/>
          <w:sz w:val="32"/>
          <w:szCs w:val="32"/>
          <w:lang w:val="en-US" w:eastAsia="zh-CN"/>
        </w:rPr>
        <w:t>万元</w:t>
      </w:r>
      <w:r>
        <w:rPr>
          <w:rFonts w:hint="default" w:ascii="Times New Roman" w:hAnsi="Times New Roman" w:eastAsia="仿宋_GB2312" w:cs="Times New Roman"/>
          <w:kern w:val="0"/>
          <w:sz w:val="32"/>
          <w:szCs w:val="32"/>
        </w:rPr>
        <w:t>、办公设备购置</w:t>
      </w:r>
      <w:r>
        <w:rPr>
          <w:rFonts w:hint="eastAsia" w:eastAsia="仿宋_GB2312" w:cs="Times New Roman"/>
          <w:kern w:val="0"/>
          <w:sz w:val="32"/>
          <w:szCs w:val="32"/>
          <w:lang w:val="en-US" w:eastAsia="zh-CN"/>
        </w:rPr>
        <w:t>3.00</w:t>
      </w:r>
      <w:r>
        <w:rPr>
          <w:rFonts w:hint="eastAsia" w:ascii="Times New Roman" w:hAnsi="Times New Roman" w:eastAsia="仿宋_GB2312" w:cs="Times New Roman"/>
          <w:kern w:val="0"/>
          <w:sz w:val="32"/>
          <w:szCs w:val="32"/>
          <w:lang w:val="en-US" w:eastAsia="zh-CN"/>
        </w:rPr>
        <w:t>万元</w:t>
      </w:r>
      <w:r>
        <w:rPr>
          <w:rFonts w:hint="default" w:ascii="Times New Roman" w:hAnsi="Times New Roman" w:eastAsia="仿宋_GB2312" w:cs="Times New Roman"/>
          <w:kern w:val="0"/>
          <w:sz w:val="32"/>
          <w:szCs w:val="32"/>
        </w:rPr>
        <w:t>。</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color w:val="FF0000"/>
          <w:kern w:val="0"/>
          <w:sz w:val="32"/>
          <w:szCs w:val="32"/>
        </w:rPr>
      </w:pPr>
      <w:r>
        <w:rPr>
          <w:rFonts w:hint="eastAsia" w:ascii="黑体" w:hAnsi="黑体" w:eastAsia="黑体" w:cs="黑体"/>
          <w:b w:val="0"/>
          <w:bCs w:val="0"/>
          <w:kern w:val="0"/>
          <w:sz w:val="32"/>
          <w:szCs w:val="32"/>
        </w:rPr>
        <w:t>七、一般公共预算财政拨款项目支出决算情况说明</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rPr>
      </w:pPr>
      <w:r>
        <w:rPr>
          <w:rFonts w:hint="default" w:ascii="Times New Roman" w:hAnsi="Times New Roman" w:eastAsia="仿宋_GB2312" w:cs="Times New Roman"/>
          <w:kern w:val="0"/>
          <w:sz w:val="32"/>
          <w:szCs w:val="32"/>
        </w:rPr>
        <w:t>内蒙古</w:t>
      </w:r>
      <w:r>
        <w:rPr>
          <w:rFonts w:hint="eastAsia" w:eastAsia="仿宋_GB2312" w:cs="Times New Roman"/>
          <w:kern w:val="0"/>
          <w:sz w:val="32"/>
          <w:szCs w:val="32"/>
          <w:lang w:val="en-US" w:eastAsia="zh-CN"/>
        </w:rPr>
        <w:t>大兴安岭森林公安局莫尔道嘎分局</w:t>
      </w:r>
      <w:r>
        <w:rPr>
          <w:rFonts w:hint="default" w:eastAsia="仿宋_GB2312" w:cs="Times New Roman"/>
          <w:kern w:val="0"/>
          <w:sz w:val="32"/>
          <w:szCs w:val="32"/>
          <w:lang w:val="en-US" w:eastAsia="zh-CN"/>
        </w:rPr>
        <w:t>202</w:t>
      </w:r>
      <w:r>
        <w:rPr>
          <w:rFonts w:hint="eastAsia" w:eastAsia="仿宋_GB2312" w:cs="Times New Roman"/>
          <w:kern w:val="0"/>
          <w:sz w:val="32"/>
          <w:szCs w:val="32"/>
          <w:lang w:val="en-US" w:eastAsia="zh-CN"/>
        </w:rPr>
        <w:t>5</w:t>
      </w:r>
      <w:r>
        <w:rPr>
          <w:rFonts w:hint="default" w:eastAsia="仿宋_GB2312" w:cs="Times New Roman"/>
          <w:kern w:val="0"/>
          <w:sz w:val="32"/>
          <w:szCs w:val="32"/>
          <w:lang w:val="en-US" w:eastAsia="zh-CN"/>
        </w:rPr>
        <w:t>年度</w:t>
      </w:r>
      <w:r>
        <w:rPr>
          <w:rFonts w:hint="default" w:ascii="Times New Roman" w:hAnsi="Times New Roman" w:eastAsia="仿宋_GB2312" w:cs="Times New Roman"/>
          <w:kern w:val="0"/>
          <w:sz w:val="32"/>
          <w:szCs w:val="32"/>
        </w:rPr>
        <w:t>一般公共预算财政拨款项目支出决算</w:t>
      </w:r>
      <w:r>
        <w:rPr>
          <w:rFonts w:hint="eastAsia" w:eastAsia="仿宋_GB2312" w:cs="Times New Roman"/>
          <w:kern w:val="0"/>
          <w:sz w:val="32"/>
          <w:szCs w:val="32"/>
          <w:lang w:val="en-US" w:eastAsia="zh-CN"/>
        </w:rPr>
        <w:t>90.00</w:t>
      </w:r>
      <w:r>
        <w:rPr>
          <w:rFonts w:hint="default" w:ascii="Times New Roman" w:hAnsi="Times New Roman" w:eastAsia="仿宋_GB2312" w:cs="Times New Roman"/>
          <w:kern w:val="0"/>
          <w:sz w:val="32"/>
          <w:szCs w:val="32"/>
        </w:rPr>
        <w:t>万元，其中：</w:t>
      </w:r>
    </w:p>
    <w:p>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firstLine="643" w:firstLineChars="200"/>
        <w:jc w:val="both"/>
        <w:textAlignment w:val="auto"/>
        <w:rPr>
          <w:rFonts w:hint="default" w:ascii="Times New Roman" w:hAnsi="Times New Roman" w:eastAsia="仿宋_GB2312" w:cs="Times New Roman"/>
          <w:kern w:val="0"/>
          <w:sz w:val="32"/>
          <w:szCs w:val="32"/>
        </w:rPr>
      </w:pPr>
      <w:r>
        <w:rPr>
          <w:rFonts w:hint="eastAsia" w:ascii="楷体_GB2312" w:hAnsi="楷体_GB2312" w:eastAsia="楷体_GB2312" w:cs="楷体_GB2312"/>
          <w:b/>
          <w:bCs/>
          <w:kern w:val="0"/>
          <w:sz w:val="32"/>
          <w:szCs w:val="32"/>
        </w:rPr>
        <w:t>工资福利支出</w:t>
      </w:r>
      <w:r>
        <w:rPr>
          <w:rFonts w:hint="default" w:ascii="Times New Roman" w:hAnsi="Times New Roman" w:eastAsia="楷体_GB2312" w:cs="Times New Roman"/>
          <w:b/>
          <w:bCs/>
          <w:kern w:val="0"/>
          <w:sz w:val="32"/>
          <w:szCs w:val="32"/>
          <w:lang w:val="en-US" w:eastAsia="zh-CN"/>
        </w:rPr>
        <w:t>0.00</w:t>
      </w:r>
      <w:r>
        <w:rPr>
          <w:rFonts w:hint="eastAsia" w:ascii="楷体_GB2312" w:hAnsi="楷体_GB2312" w:eastAsia="楷体_GB2312" w:cs="楷体_GB2312"/>
          <w:b/>
          <w:bCs/>
          <w:kern w:val="0"/>
          <w:sz w:val="32"/>
          <w:szCs w:val="32"/>
        </w:rPr>
        <w:t>万元。</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jc w:val="both"/>
        <w:textAlignment w:val="auto"/>
        <w:rPr>
          <w:rFonts w:hint="default" w:ascii="Times New Roman" w:hAnsi="Times New Roman" w:eastAsia="仿宋_GB2312" w:cs="Times New Roman"/>
          <w:kern w:val="0"/>
          <w:sz w:val="32"/>
          <w:szCs w:val="32"/>
        </w:rPr>
      </w:pPr>
      <w:r>
        <w:rPr>
          <w:rFonts w:hint="default" w:ascii="楷体_GB2312" w:hAnsi="楷体_GB2312" w:eastAsia="楷体_GB2312" w:cs="楷体_GB2312"/>
          <w:b/>
          <w:bCs/>
          <w:kern w:val="0"/>
          <w:sz w:val="32"/>
          <w:szCs w:val="32"/>
        </w:rPr>
        <w:t>（二）商品和服务支出</w:t>
      </w:r>
      <w:r>
        <w:rPr>
          <w:rFonts w:hint="eastAsia" w:ascii="楷体_GB2312" w:hAnsi="楷体_GB2312" w:eastAsia="楷体_GB2312" w:cs="楷体_GB2312"/>
          <w:b/>
          <w:bCs/>
          <w:kern w:val="0"/>
          <w:sz w:val="32"/>
          <w:szCs w:val="32"/>
          <w:lang w:val="en-US" w:eastAsia="zh-CN"/>
        </w:rPr>
        <w:t>38.00</w:t>
      </w:r>
      <w:r>
        <w:rPr>
          <w:rFonts w:hint="default" w:ascii="楷体_GB2312" w:hAnsi="楷体_GB2312" w:eastAsia="楷体_GB2312" w:cs="楷体_GB2312"/>
          <w:b/>
          <w:bCs/>
          <w:kern w:val="0"/>
          <w:sz w:val="32"/>
          <w:szCs w:val="32"/>
        </w:rPr>
        <w:t>万元。</w:t>
      </w:r>
      <w:r>
        <w:rPr>
          <w:rFonts w:hint="default" w:ascii="Times New Roman" w:hAnsi="Times New Roman" w:eastAsia="仿宋_GB2312" w:cs="Times New Roman"/>
          <w:kern w:val="0"/>
          <w:sz w:val="32"/>
          <w:szCs w:val="32"/>
        </w:rPr>
        <w:t>主要包括：印刷费</w:t>
      </w:r>
      <w:r>
        <w:rPr>
          <w:rFonts w:hint="eastAsia" w:eastAsia="仿宋_GB2312" w:cs="Times New Roman"/>
          <w:kern w:val="0"/>
          <w:sz w:val="32"/>
          <w:szCs w:val="32"/>
          <w:lang w:val="en-US" w:eastAsia="zh-CN"/>
        </w:rPr>
        <w:t>3.00万元</w:t>
      </w:r>
      <w:r>
        <w:rPr>
          <w:rFonts w:hint="default" w:ascii="Times New Roman" w:hAnsi="Times New Roman" w:eastAsia="仿宋_GB2312" w:cs="Times New Roman"/>
          <w:kern w:val="0"/>
          <w:sz w:val="32"/>
          <w:szCs w:val="32"/>
        </w:rPr>
        <w:t>、差旅费</w:t>
      </w:r>
      <w:r>
        <w:rPr>
          <w:rFonts w:hint="eastAsia" w:eastAsia="仿宋_GB2312" w:cs="Times New Roman"/>
          <w:kern w:val="0"/>
          <w:sz w:val="32"/>
          <w:szCs w:val="32"/>
          <w:lang w:val="en-US" w:eastAsia="zh-CN"/>
        </w:rPr>
        <w:t>22.00万元</w:t>
      </w:r>
      <w:r>
        <w:rPr>
          <w:rFonts w:hint="default" w:ascii="Times New Roman" w:hAnsi="Times New Roman" w:eastAsia="仿宋_GB2312" w:cs="Times New Roman"/>
          <w:kern w:val="0"/>
          <w:sz w:val="32"/>
          <w:szCs w:val="32"/>
        </w:rPr>
        <w:t>、维修（护）费</w:t>
      </w:r>
      <w:r>
        <w:rPr>
          <w:rFonts w:hint="eastAsia" w:eastAsia="仿宋_GB2312" w:cs="Times New Roman"/>
          <w:kern w:val="0"/>
          <w:sz w:val="32"/>
          <w:szCs w:val="32"/>
          <w:lang w:val="en-US" w:eastAsia="zh-CN"/>
        </w:rPr>
        <w:t>2.00万元</w:t>
      </w:r>
      <w:r>
        <w:rPr>
          <w:rFonts w:hint="default" w:ascii="Times New Roman" w:hAnsi="Times New Roman" w:eastAsia="仿宋_GB2312" w:cs="Times New Roman"/>
          <w:kern w:val="0"/>
          <w:sz w:val="32"/>
          <w:szCs w:val="32"/>
        </w:rPr>
        <w:t>、租赁费</w:t>
      </w:r>
      <w:r>
        <w:rPr>
          <w:rFonts w:hint="eastAsia" w:eastAsia="仿宋_GB2312" w:cs="Times New Roman"/>
          <w:kern w:val="0"/>
          <w:sz w:val="32"/>
          <w:szCs w:val="32"/>
          <w:lang w:val="en-US" w:eastAsia="zh-CN"/>
        </w:rPr>
        <w:t>8.00万元</w:t>
      </w:r>
      <w:r>
        <w:rPr>
          <w:rFonts w:hint="default" w:ascii="Times New Roman" w:hAnsi="Times New Roman" w:eastAsia="仿宋_GB2312" w:cs="Times New Roman"/>
          <w:kern w:val="0"/>
          <w:sz w:val="32"/>
          <w:szCs w:val="32"/>
        </w:rPr>
        <w:t>、劳务费</w:t>
      </w:r>
      <w:r>
        <w:rPr>
          <w:rFonts w:hint="eastAsia" w:eastAsia="仿宋_GB2312" w:cs="Times New Roman"/>
          <w:kern w:val="0"/>
          <w:sz w:val="32"/>
          <w:szCs w:val="32"/>
          <w:lang w:val="en-US" w:eastAsia="zh-CN"/>
        </w:rPr>
        <w:t>3.00万元</w:t>
      </w:r>
      <w:r>
        <w:rPr>
          <w:rFonts w:hint="default" w:ascii="Times New Roman" w:hAnsi="Times New Roman" w:eastAsia="仿宋_GB2312" w:cs="Times New Roman"/>
          <w:kern w:val="0"/>
          <w:sz w:val="32"/>
          <w:szCs w:val="32"/>
        </w:rPr>
        <w:t>。</w:t>
      </w:r>
    </w:p>
    <w:p>
      <w:pPr>
        <w:pStyle w:val="21"/>
        <w:keepNext w:val="0"/>
        <w:keepLines w:val="0"/>
        <w:pageBreakBefore w:val="0"/>
        <w:kinsoku/>
        <w:wordWrap/>
        <w:overflowPunct/>
        <w:topLinePunct w:val="0"/>
        <w:autoSpaceDN/>
        <w:bidi w:val="0"/>
        <w:adjustRightInd/>
        <w:spacing w:line="560" w:lineRule="exact"/>
        <w:ind w:left="0" w:leftChars="0" w:firstLine="643" w:firstLineChars="200"/>
        <w:jc w:val="both"/>
        <w:textAlignment w:val="auto"/>
        <w:rPr>
          <w:rFonts w:eastAsia="仿宋_GB2312" w:cs="仿宋_GB2312"/>
          <w:b w:val="0"/>
          <w:bCs w:val="0"/>
          <w:sz w:val="32"/>
          <w:szCs w:val="32"/>
        </w:rPr>
      </w:pPr>
      <w:r>
        <w:rPr>
          <w:rFonts w:ascii="楷体_GB2312" w:hAnsi="楷体_GB2312" w:eastAsia="楷体_GB2312" w:cs="楷体_GB2312"/>
          <w:b/>
          <w:bCs/>
          <w:kern w:val="0"/>
          <w:sz w:val="32"/>
          <w:szCs w:val="32"/>
        </w:rPr>
        <w:t>（三）资本性支出</w:t>
      </w:r>
      <w:r>
        <w:rPr>
          <w:rFonts w:hint="eastAsia" w:ascii="楷体_GB2312" w:hAnsi="楷体_GB2312" w:eastAsia="楷体_GB2312" w:cs="楷体_GB2312"/>
          <w:b/>
          <w:bCs/>
          <w:kern w:val="0"/>
          <w:sz w:val="32"/>
          <w:szCs w:val="32"/>
          <w:lang w:val="en-US" w:eastAsia="zh-CN"/>
        </w:rPr>
        <w:t>52.00</w:t>
      </w:r>
      <w:r>
        <w:rPr>
          <w:rFonts w:ascii="楷体_GB2312" w:hAnsi="楷体_GB2312" w:eastAsia="楷体_GB2312" w:cs="楷体_GB2312"/>
          <w:b/>
          <w:bCs/>
          <w:kern w:val="0"/>
          <w:sz w:val="32"/>
          <w:szCs w:val="32"/>
        </w:rPr>
        <w:t>万元</w:t>
      </w:r>
      <w:r>
        <w:rPr>
          <w:rFonts w:ascii="楷体_GB2312" w:hAnsi="楷体_GB2312" w:eastAsia="楷体_GB2312" w:cs="楷体_GB2312"/>
          <w:b w:val="0"/>
          <w:bCs w:val="0"/>
          <w:kern w:val="0"/>
          <w:sz w:val="32"/>
          <w:szCs w:val="32"/>
        </w:rPr>
        <w:t>。</w:t>
      </w:r>
      <w:r>
        <w:rPr>
          <w:rFonts w:eastAsia="仿宋_GB2312" w:cs="仿宋_GB2312"/>
          <w:b w:val="0"/>
          <w:bCs w:val="0"/>
          <w:sz w:val="32"/>
          <w:szCs w:val="32"/>
        </w:rPr>
        <w:t>主要包括：专用设备购置</w:t>
      </w:r>
      <w:r>
        <w:rPr>
          <w:rFonts w:hint="eastAsia" w:eastAsia="仿宋_GB2312" w:cs="仿宋_GB2312"/>
          <w:b w:val="0"/>
          <w:bCs w:val="0"/>
          <w:sz w:val="32"/>
          <w:szCs w:val="32"/>
          <w:lang w:val="en-US" w:eastAsia="zh-CN"/>
        </w:rPr>
        <w:t>24.78</w:t>
      </w:r>
      <w:r>
        <w:rPr>
          <w:rFonts w:hint="eastAsia" w:eastAsia="仿宋_GB2312" w:cs="仿宋_GB2312"/>
          <w:b w:val="0"/>
          <w:bCs w:val="0"/>
          <w:sz w:val="32"/>
          <w:szCs w:val="32"/>
        </w:rPr>
        <w:t>万元</w:t>
      </w:r>
      <w:r>
        <w:rPr>
          <w:rFonts w:eastAsia="仿宋_GB2312" w:cs="仿宋_GB2312"/>
          <w:b w:val="0"/>
          <w:bCs w:val="0"/>
          <w:sz w:val="32"/>
          <w:szCs w:val="32"/>
        </w:rPr>
        <w:t>、其他交通工具购置</w:t>
      </w:r>
      <w:r>
        <w:rPr>
          <w:rFonts w:hint="eastAsia" w:eastAsia="仿宋_GB2312" w:cs="仿宋_GB2312"/>
          <w:b w:val="0"/>
          <w:bCs w:val="0"/>
          <w:sz w:val="32"/>
          <w:szCs w:val="32"/>
          <w:lang w:val="en-US" w:eastAsia="zh-CN"/>
        </w:rPr>
        <w:t>27.22</w:t>
      </w:r>
      <w:r>
        <w:rPr>
          <w:rFonts w:hint="eastAsia" w:eastAsia="仿宋_GB2312" w:cs="仿宋_GB2312"/>
          <w:b w:val="0"/>
          <w:bCs w:val="0"/>
          <w:sz w:val="32"/>
          <w:szCs w:val="32"/>
        </w:rPr>
        <w:t>万元</w:t>
      </w:r>
      <w:r>
        <w:rPr>
          <w:rFonts w:eastAsia="仿宋_GB2312" w:cs="仿宋_GB2312"/>
          <w:b w:val="0"/>
          <w:bCs w:val="0"/>
          <w:sz w:val="32"/>
          <w:szCs w:val="32"/>
        </w:rPr>
        <w:t>。</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jc w:val="both"/>
        <w:textAlignment w:val="auto"/>
        <w:rPr>
          <w:rFonts w:hint="default"/>
        </w:rPr>
      </w:pPr>
      <w:r>
        <w:rPr>
          <w:rFonts w:hint="eastAsia" w:ascii="黑体" w:hAnsi="黑体" w:eastAsia="黑体" w:cs="黑体"/>
          <w:b w:val="0"/>
          <w:bCs w:val="0"/>
          <w:kern w:val="0"/>
          <w:sz w:val="32"/>
          <w:szCs w:val="32"/>
          <w:lang w:val="en-US" w:eastAsia="zh-CN"/>
        </w:rPr>
        <w:t>八、</w:t>
      </w:r>
      <w:r>
        <w:rPr>
          <w:rFonts w:hint="eastAsia" w:ascii="黑体" w:hAnsi="黑体" w:eastAsia="黑体" w:cs="黑体"/>
          <w:b w:val="0"/>
          <w:bCs w:val="0"/>
          <w:kern w:val="0"/>
          <w:sz w:val="32"/>
          <w:szCs w:val="32"/>
        </w:rPr>
        <w:t>财政拨款“三公”经费支出决算情况说明</w:t>
      </w:r>
    </w:p>
    <w:p>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firstLine="643" w:firstLineChars="200"/>
        <w:jc w:val="both"/>
        <w:textAlignment w:val="auto"/>
        <w:rPr>
          <w:rFonts w:hint="default"/>
        </w:rPr>
      </w:pPr>
      <w:r>
        <w:rPr>
          <w:rFonts w:hint="default" w:ascii="楷体_GB2312" w:hAnsi="楷体_GB2312" w:eastAsia="楷体_GB2312" w:cs="楷体_GB2312"/>
          <w:b/>
          <w:bCs/>
          <w:kern w:val="0"/>
          <w:sz w:val="32"/>
          <w:szCs w:val="32"/>
        </w:rPr>
        <w:t>财政拨款“三公”经费支出总体情况说明。</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rPr>
      </w:pPr>
      <w:r>
        <w:rPr>
          <w:rFonts w:hint="default" w:ascii="Times New Roman" w:hAnsi="Times New Roman" w:eastAsia="仿宋_GB2312" w:cs="Times New Roman"/>
          <w:kern w:val="0"/>
          <w:sz w:val="32"/>
          <w:szCs w:val="32"/>
        </w:rPr>
        <w:t>内蒙古</w:t>
      </w:r>
      <w:r>
        <w:rPr>
          <w:rFonts w:hint="eastAsia" w:eastAsia="仿宋_GB2312" w:cs="Times New Roman"/>
          <w:kern w:val="0"/>
          <w:sz w:val="32"/>
          <w:szCs w:val="32"/>
          <w:lang w:val="en-US" w:eastAsia="zh-CN"/>
        </w:rPr>
        <w:t>大兴安岭森林公安局莫尔道嘎分局</w:t>
      </w:r>
      <w:r>
        <w:rPr>
          <w:rFonts w:hint="default" w:eastAsia="仿宋_GB2312" w:cs="Times New Roman"/>
          <w:kern w:val="0"/>
          <w:sz w:val="32"/>
          <w:szCs w:val="32"/>
          <w:lang w:val="en-US" w:eastAsia="zh-CN"/>
        </w:rPr>
        <w:t>202</w:t>
      </w:r>
      <w:r>
        <w:rPr>
          <w:rFonts w:hint="eastAsia" w:eastAsia="仿宋_GB2312" w:cs="Times New Roman"/>
          <w:kern w:val="0"/>
          <w:sz w:val="32"/>
          <w:szCs w:val="32"/>
          <w:lang w:val="en-US" w:eastAsia="zh-CN"/>
        </w:rPr>
        <w:t>5</w:t>
      </w:r>
      <w:r>
        <w:rPr>
          <w:rFonts w:hint="default" w:eastAsia="仿宋_GB2312" w:cs="Times New Roman"/>
          <w:kern w:val="0"/>
          <w:sz w:val="32"/>
          <w:szCs w:val="32"/>
          <w:lang w:val="en-US" w:eastAsia="zh-CN"/>
        </w:rPr>
        <w:t>年</w:t>
      </w:r>
      <w:r>
        <w:rPr>
          <w:rFonts w:hint="default" w:ascii="Times New Roman" w:hAnsi="Times New Roman" w:eastAsia="仿宋_GB2312" w:cs="Times New Roman"/>
          <w:kern w:val="0"/>
          <w:sz w:val="32"/>
          <w:szCs w:val="32"/>
        </w:rPr>
        <w:t>度财政拨款“三公”经费全年预算</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万元，支出决算</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万元，完成预算的</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%。其中：因公出国（境）费全年预算</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万元，支出决算</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万元，完成预算的</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%；公务用车购置及运行维护费全年预算</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万元，支出决算</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万元，完成预算的</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%；公务接待费全年预算</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万元，支出决算</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万元，完成预算的</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%。202</w:t>
      </w:r>
      <w:r>
        <w:rPr>
          <w:rFonts w:hint="eastAsia" w:eastAsia="仿宋_GB2312" w:cs="Times New Roman"/>
          <w:kern w:val="0"/>
          <w:sz w:val="32"/>
          <w:szCs w:val="32"/>
          <w:lang w:val="en-US" w:eastAsia="zh-CN"/>
        </w:rPr>
        <w:t>5</w:t>
      </w:r>
      <w:r>
        <w:rPr>
          <w:rFonts w:hint="default" w:ascii="Times New Roman" w:hAnsi="Times New Roman" w:eastAsia="仿宋_GB2312" w:cs="Times New Roman"/>
          <w:kern w:val="0"/>
          <w:sz w:val="32"/>
          <w:szCs w:val="32"/>
        </w:rPr>
        <w:t>年度一般公共预算财政拨款“三公”经费支出决算与预算差异原因</w:t>
      </w:r>
      <w:r>
        <w:rPr>
          <w:rFonts w:hint="eastAsia" w:eastAsia="仿宋_GB2312" w:cs="Times New Roman"/>
          <w:kern w:val="0"/>
          <w:sz w:val="32"/>
          <w:szCs w:val="32"/>
          <w:lang w:eastAsia="zh-CN"/>
        </w:rPr>
        <w:t>：</w:t>
      </w:r>
      <w:r>
        <w:rPr>
          <w:rFonts w:hint="eastAsia" w:eastAsia="仿宋_GB2312" w:cs="Times New Roman"/>
          <w:kern w:val="0"/>
          <w:sz w:val="32"/>
          <w:szCs w:val="32"/>
          <w:lang w:val="en-US" w:eastAsia="zh-CN"/>
        </w:rPr>
        <w:t>本单位本年度无因公出国（境）费用；无公务接待费用；公务用车购置及运行维护费与上年相比无差异</w:t>
      </w:r>
      <w:r>
        <w:rPr>
          <w:rFonts w:hint="default" w:ascii="Times New Roman" w:hAnsi="Times New Roman" w:eastAsia="仿宋_GB2312" w:cs="Times New Roman"/>
          <w:kern w:val="0"/>
          <w:sz w:val="32"/>
          <w:szCs w:val="32"/>
        </w:rPr>
        <w:t>。</w:t>
      </w:r>
    </w:p>
    <w:p>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firstLine="643" w:firstLineChars="200"/>
        <w:jc w:val="both"/>
        <w:textAlignment w:val="auto"/>
        <w:rPr>
          <w:rFonts w:hint="default"/>
        </w:rPr>
      </w:pPr>
      <w:r>
        <w:rPr>
          <w:rFonts w:hint="default" w:ascii="楷体_GB2312" w:hAnsi="楷体_GB2312" w:eastAsia="楷体_GB2312" w:cs="楷体_GB2312"/>
          <w:b/>
          <w:bCs/>
          <w:kern w:val="0"/>
          <w:sz w:val="32"/>
          <w:szCs w:val="32"/>
        </w:rPr>
        <w:t>财政拨款“三公”经费支出具体情况说明。</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内蒙古</w:t>
      </w:r>
      <w:r>
        <w:rPr>
          <w:rFonts w:hint="eastAsia" w:eastAsia="仿宋_GB2312" w:cs="Times New Roman"/>
          <w:kern w:val="0"/>
          <w:sz w:val="32"/>
          <w:szCs w:val="32"/>
          <w:lang w:val="en-US" w:eastAsia="zh-CN"/>
        </w:rPr>
        <w:t>大兴安岭森林公安局莫尔道嘎分局</w:t>
      </w:r>
      <w:r>
        <w:rPr>
          <w:rFonts w:hint="default" w:ascii="Times New Roman" w:hAnsi="Times New Roman" w:eastAsia="仿宋_GB2312" w:cs="Times New Roman"/>
          <w:kern w:val="0"/>
          <w:sz w:val="32"/>
          <w:szCs w:val="32"/>
        </w:rPr>
        <w:t>202</w:t>
      </w:r>
      <w:r>
        <w:rPr>
          <w:rFonts w:hint="eastAsia" w:eastAsia="仿宋_GB2312" w:cs="Times New Roman"/>
          <w:kern w:val="0"/>
          <w:sz w:val="32"/>
          <w:szCs w:val="32"/>
          <w:lang w:val="en-US" w:eastAsia="zh-CN"/>
        </w:rPr>
        <w:t>5</w:t>
      </w:r>
      <w:r>
        <w:rPr>
          <w:rFonts w:hint="default" w:ascii="Times New Roman" w:hAnsi="Times New Roman" w:eastAsia="仿宋_GB2312" w:cs="Times New Roman"/>
          <w:kern w:val="0"/>
          <w:sz w:val="32"/>
          <w:szCs w:val="32"/>
        </w:rPr>
        <w:t>年度财政拨款“三公”经费支出</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万元。因公出国（境）费支出</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万元，占</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%；公务用车购置及运行维护费支出</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万元，占</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%；公务接待费支出</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万元，占</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%。其中：</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1.因公出国（境）费支出</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万元，全年出国（境）团组</w:t>
      </w:r>
      <w:r>
        <w:rPr>
          <w:rFonts w:hint="eastAsia" w:eastAsia="仿宋_GB2312" w:cs="Times New Roman"/>
          <w:kern w:val="0"/>
          <w:sz w:val="32"/>
          <w:szCs w:val="32"/>
          <w:lang w:val="en-US" w:eastAsia="zh-CN"/>
        </w:rPr>
        <w:t>0</w:t>
      </w:r>
      <w:r>
        <w:rPr>
          <w:rFonts w:hint="default" w:ascii="Times New Roman" w:hAnsi="Times New Roman" w:eastAsia="仿宋_GB2312" w:cs="Times New Roman"/>
          <w:kern w:val="0"/>
          <w:sz w:val="32"/>
          <w:szCs w:val="32"/>
        </w:rPr>
        <w:t>个，累计</w:t>
      </w:r>
      <w:r>
        <w:rPr>
          <w:rFonts w:hint="eastAsia" w:eastAsia="仿宋_GB2312" w:cs="Times New Roman"/>
          <w:kern w:val="0"/>
          <w:sz w:val="32"/>
          <w:szCs w:val="32"/>
          <w:lang w:val="en-US" w:eastAsia="zh-CN"/>
        </w:rPr>
        <w:t>0</w:t>
      </w:r>
      <w:r>
        <w:rPr>
          <w:rFonts w:hint="default" w:ascii="Times New Roman" w:hAnsi="Times New Roman" w:eastAsia="仿宋_GB2312" w:cs="Times New Roman"/>
          <w:kern w:val="0"/>
          <w:sz w:val="32"/>
          <w:szCs w:val="32"/>
        </w:rPr>
        <w:t>人次。与上年决算相比，增加</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万元，增长</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w:t>
      </w:r>
      <w:r>
        <w:rPr>
          <w:rFonts w:hint="eastAsia" w:eastAsia="仿宋_GB2312" w:cs="Times New Roman"/>
          <w:kern w:val="0"/>
          <w:sz w:val="32"/>
          <w:szCs w:val="32"/>
          <w:lang w:val="en-US" w:eastAsia="zh-CN"/>
        </w:rPr>
        <w:t>与上年相比无变化</w:t>
      </w:r>
      <w:r>
        <w:rPr>
          <w:rFonts w:hint="default" w:ascii="Times New Roman" w:hAnsi="Times New Roman" w:eastAsia="仿宋_GB2312" w:cs="Times New Roman"/>
          <w:kern w:val="0"/>
          <w:sz w:val="32"/>
          <w:szCs w:val="32"/>
        </w:rPr>
        <w:t>。</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2.公务用车购置及运行维护费支出</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万元。其中：</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（1）公务用车购置支出</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万元。本年度使用财政拨款购置公务用车</w:t>
      </w:r>
      <w:r>
        <w:rPr>
          <w:rFonts w:hint="eastAsia" w:eastAsia="仿宋_GB2312" w:cs="Times New Roman"/>
          <w:kern w:val="0"/>
          <w:sz w:val="32"/>
          <w:szCs w:val="32"/>
          <w:lang w:val="en-US" w:eastAsia="zh-CN"/>
        </w:rPr>
        <w:t>0</w:t>
      </w:r>
      <w:r>
        <w:rPr>
          <w:rFonts w:hint="default" w:ascii="Times New Roman" w:hAnsi="Times New Roman" w:eastAsia="仿宋_GB2312" w:cs="Times New Roman"/>
          <w:kern w:val="0"/>
          <w:sz w:val="32"/>
          <w:szCs w:val="32"/>
        </w:rPr>
        <w:t>辆</w:t>
      </w:r>
      <w:r>
        <w:rPr>
          <w:rFonts w:hint="eastAsia" w:eastAsia="仿宋_GB2312" w:cs="Times New Roman"/>
          <w:kern w:val="0"/>
          <w:sz w:val="32"/>
          <w:szCs w:val="32"/>
          <w:lang w:eastAsia="zh-CN"/>
        </w:rPr>
        <w:t>，</w:t>
      </w:r>
      <w:r>
        <w:rPr>
          <w:rFonts w:hint="eastAsia" w:eastAsia="仿宋_GB2312" w:cs="Times New Roman"/>
          <w:kern w:val="0"/>
          <w:sz w:val="32"/>
          <w:szCs w:val="32"/>
          <w:lang w:val="en-US" w:eastAsia="zh-CN"/>
        </w:rPr>
        <w:t>无开支内容</w:t>
      </w:r>
      <w:r>
        <w:rPr>
          <w:rFonts w:hint="default" w:ascii="Times New Roman" w:hAnsi="Times New Roman" w:eastAsia="仿宋_GB2312" w:cs="Times New Roman"/>
          <w:kern w:val="0"/>
          <w:sz w:val="32"/>
          <w:szCs w:val="32"/>
        </w:rPr>
        <w:t>。与上年决算相比，增加</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万元，增长</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w:t>
      </w:r>
      <w:r>
        <w:rPr>
          <w:rFonts w:hint="eastAsia" w:eastAsia="仿宋_GB2312" w:cs="Times New Roman"/>
          <w:kern w:val="0"/>
          <w:sz w:val="32"/>
          <w:szCs w:val="32"/>
          <w:lang w:val="en-US" w:eastAsia="zh-CN"/>
        </w:rPr>
        <w:t>与上年相比无变化</w:t>
      </w:r>
      <w:r>
        <w:rPr>
          <w:rFonts w:hint="default" w:ascii="Times New Roman" w:hAnsi="Times New Roman" w:eastAsia="仿宋_GB2312" w:cs="Times New Roman"/>
          <w:b w:val="0"/>
          <w:bCs w:val="0"/>
          <w:kern w:val="0"/>
          <w:sz w:val="32"/>
          <w:szCs w:val="32"/>
        </w:rPr>
        <w:t>。</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lang w:val="en-US" w:eastAsia="zh-CN"/>
        </w:rPr>
      </w:pPr>
      <w:r>
        <w:rPr>
          <w:rFonts w:hint="default" w:ascii="Times New Roman" w:hAnsi="Times New Roman" w:eastAsia="仿宋_GB2312" w:cs="Times New Roman"/>
          <w:kern w:val="0"/>
          <w:sz w:val="32"/>
          <w:szCs w:val="32"/>
        </w:rPr>
        <w:t>（2）公务用车运行维护费支出</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万元。公务用车运行维护费主要用于按规定保留的公务用车的燃料费、维修费、过桥过路费、保险费、安全奖励费用等支出。截至202</w:t>
      </w:r>
      <w:r>
        <w:rPr>
          <w:rFonts w:hint="eastAsia" w:eastAsia="仿宋_GB2312" w:cs="Times New Roman"/>
          <w:kern w:val="0"/>
          <w:sz w:val="32"/>
          <w:szCs w:val="32"/>
          <w:lang w:val="en-US" w:eastAsia="zh-CN"/>
        </w:rPr>
        <w:t>5</w:t>
      </w:r>
      <w:r>
        <w:rPr>
          <w:rFonts w:hint="default" w:ascii="Times New Roman" w:hAnsi="Times New Roman" w:eastAsia="仿宋_GB2312" w:cs="Times New Roman"/>
          <w:kern w:val="0"/>
          <w:sz w:val="32"/>
          <w:szCs w:val="32"/>
        </w:rPr>
        <w:t>年12月31日，使用财政拨款开支的公务用车保有量为</w:t>
      </w:r>
      <w:r>
        <w:rPr>
          <w:rFonts w:hint="eastAsia" w:eastAsia="仿宋_GB2312" w:cs="Times New Roman"/>
          <w:kern w:val="0"/>
          <w:sz w:val="32"/>
          <w:szCs w:val="32"/>
          <w:lang w:val="en-US" w:eastAsia="zh-CN"/>
        </w:rPr>
        <w:t>0</w:t>
      </w:r>
      <w:r>
        <w:rPr>
          <w:rFonts w:hint="default" w:ascii="Times New Roman" w:hAnsi="Times New Roman" w:eastAsia="仿宋_GB2312" w:cs="Times New Roman"/>
          <w:kern w:val="0"/>
          <w:sz w:val="32"/>
          <w:szCs w:val="32"/>
        </w:rPr>
        <w:t>辆。与上年决算相比，</w:t>
      </w:r>
      <w:r>
        <w:rPr>
          <w:rFonts w:hint="eastAsia" w:eastAsia="仿宋_GB2312" w:cs="Times New Roman"/>
          <w:kern w:val="0"/>
          <w:sz w:val="32"/>
          <w:szCs w:val="32"/>
          <w:lang w:eastAsia="zh-CN"/>
        </w:rPr>
        <w:t>增加</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w:t>
      </w:r>
      <w:r>
        <w:rPr>
          <w:rFonts w:hint="eastAsia" w:eastAsia="仿宋_GB2312" w:cs="Times New Roman"/>
          <w:kern w:val="0"/>
          <w:sz w:val="32"/>
          <w:szCs w:val="32"/>
          <w:lang w:eastAsia="zh-CN"/>
        </w:rPr>
        <w:t>增长</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w:t>
      </w:r>
      <w:r>
        <w:rPr>
          <w:rFonts w:hint="eastAsia" w:eastAsia="仿宋_GB2312" w:cs="Times New Roman"/>
          <w:kern w:val="0"/>
          <w:sz w:val="32"/>
          <w:szCs w:val="32"/>
          <w:lang w:eastAsia="zh-CN"/>
        </w:rPr>
        <w:t>与上年相比无变化。</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rPr>
      </w:pPr>
      <w:r>
        <w:rPr>
          <w:rFonts w:hint="default" w:ascii="Times New Roman" w:hAnsi="Times New Roman" w:eastAsia="仿宋_GB2312" w:cs="Times New Roman"/>
          <w:kern w:val="0"/>
          <w:sz w:val="32"/>
          <w:szCs w:val="32"/>
        </w:rPr>
        <w:t>3.公务接待费支出</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万元。其中：国内公务接待支出</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万元，接待</w:t>
      </w:r>
      <w:r>
        <w:rPr>
          <w:rFonts w:hint="eastAsia" w:eastAsia="仿宋_GB2312" w:cs="Times New Roman"/>
          <w:kern w:val="0"/>
          <w:sz w:val="32"/>
          <w:szCs w:val="32"/>
          <w:lang w:val="en-US" w:eastAsia="zh-CN"/>
        </w:rPr>
        <w:t>0</w:t>
      </w:r>
      <w:r>
        <w:rPr>
          <w:rFonts w:hint="default" w:ascii="Times New Roman" w:hAnsi="Times New Roman" w:eastAsia="仿宋_GB2312" w:cs="Times New Roman"/>
          <w:kern w:val="0"/>
          <w:sz w:val="32"/>
          <w:szCs w:val="32"/>
        </w:rPr>
        <w:t>批次，</w:t>
      </w:r>
      <w:r>
        <w:rPr>
          <w:rFonts w:hint="eastAsia" w:eastAsia="仿宋_GB2312" w:cs="Times New Roman"/>
          <w:kern w:val="0"/>
          <w:sz w:val="32"/>
          <w:szCs w:val="32"/>
          <w:lang w:val="en-US" w:eastAsia="zh-CN"/>
        </w:rPr>
        <w:t>0</w:t>
      </w:r>
      <w:r>
        <w:rPr>
          <w:rFonts w:hint="default" w:ascii="Times New Roman" w:hAnsi="Times New Roman" w:eastAsia="仿宋_GB2312" w:cs="Times New Roman"/>
          <w:kern w:val="0"/>
          <w:sz w:val="32"/>
          <w:szCs w:val="32"/>
        </w:rPr>
        <w:t>人次</w:t>
      </w:r>
      <w:r>
        <w:rPr>
          <w:rFonts w:hint="eastAsia" w:eastAsia="仿宋_GB2312" w:cs="Times New Roman"/>
          <w:kern w:val="0"/>
          <w:sz w:val="32"/>
          <w:szCs w:val="32"/>
          <w:lang w:eastAsia="zh-CN"/>
        </w:rPr>
        <w:t>，</w:t>
      </w:r>
      <w:r>
        <w:rPr>
          <w:rFonts w:hint="eastAsia" w:eastAsia="仿宋_GB2312" w:cs="Times New Roman"/>
          <w:kern w:val="0"/>
          <w:sz w:val="32"/>
          <w:szCs w:val="32"/>
          <w:lang w:val="en-US" w:eastAsia="zh-CN"/>
        </w:rPr>
        <w:t>无开支内容</w:t>
      </w:r>
      <w:r>
        <w:rPr>
          <w:rFonts w:hint="default" w:ascii="Times New Roman" w:hAnsi="Times New Roman" w:eastAsia="仿宋_GB2312" w:cs="Times New Roman"/>
          <w:kern w:val="0"/>
          <w:sz w:val="32"/>
          <w:szCs w:val="32"/>
        </w:rPr>
        <w:t>；国（境）外公务接待支出</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万元，接待</w:t>
      </w:r>
      <w:r>
        <w:rPr>
          <w:rFonts w:hint="eastAsia" w:eastAsia="仿宋_GB2312" w:cs="Times New Roman"/>
          <w:kern w:val="0"/>
          <w:sz w:val="32"/>
          <w:szCs w:val="32"/>
          <w:lang w:val="en-US" w:eastAsia="zh-CN"/>
        </w:rPr>
        <w:t>0</w:t>
      </w:r>
      <w:r>
        <w:rPr>
          <w:rFonts w:hint="default" w:ascii="Times New Roman" w:hAnsi="Times New Roman" w:eastAsia="仿宋_GB2312" w:cs="Times New Roman"/>
          <w:kern w:val="0"/>
          <w:sz w:val="32"/>
          <w:szCs w:val="32"/>
        </w:rPr>
        <w:t>批次，</w:t>
      </w:r>
      <w:r>
        <w:rPr>
          <w:rFonts w:hint="eastAsia" w:eastAsia="仿宋_GB2312" w:cs="Times New Roman"/>
          <w:kern w:val="0"/>
          <w:sz w:val="32"/>
          <w:szCs w:val="32"/>
          <w:lang w:val="en-US" w:eastAsia="zh-CN"/>
        </w:rPr>
        <w:t>0</w:t>
      </w:r>
      <w:r>
        <w:rPr>
          <w:rFonts w:hint="default" w:ascii="Times New Roman" w:hAnsi="Times New Roman" w:eastAsia="仿宋_GB2312" w:cs="Times New Roman"/>
          <w:kern w:val="0"/>
          <w:sz w:val="32"/>
          <w:szCs w:val="32"/>
        </w:rPr>
        <w:t>人次，</w:t>
      </w:r>
      <w:r>
        <w:rPr>
          <w:rFonts w:hint="eastAsia" w:eastAsia="仿宋_GB2312" w:cs="Times New Roman"/>
          <w:kern w:val="0"/>
          <w:sz w:val="32"/>
          <w:szCs w:val="32"/>
          <w:lang w:val="en-US" w:eastAsia="zh-CN"/>
        </w:rPr>
        <w:t>无</w:t>
      </w:r>
      <w:r>
        <w:rPr>
          <w:rFonts w:hint="default" w:ascii="Times New Roman" w:hAnsi="Times New Roman" w:eastAsia="仿宋_GB2312" w:cs="Times New Roman"/>
          <w:kern w:val="0"/>
          <w:sz w:val="32"/>
          <w:szCs w:val="32"/>
        </w:rPr>
        <w:t>开支内容。与上年决算相比，增加</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万元，增长</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w:t>
      </w:r>
      <w:r>
        <w:rPr>
          <w:rFonts w:hint="eastAsia" w:eastAsia="仿宋_GB2312" w:cs="Times New Roman"/>
          <w:kern w:val="0"/>
          <w:sz w:val="32"/>
          <w:szCs w:val="32"/>
          <w:lang w:val="en-US" w:eastAsia="zh-CN"/>
        </w:rPr>
        <w:t>与上年相比无变化</w:t>
      </w:r>
      <w:r>
        <w:rPr>
          <w:rFonts w:hint="default" w:ascii="Times New Roman" w:hAnsi="Times New Roman" w:eastAsia="仿宋_GB2312" w:cs="Times New Roman"/>
          <w:kern w:val="0"/>
          <w:sz w:val="32"/>
          <w:szCs w:val="32"/>
        </w:rPr>
        <w:t>。</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200" w:firstLine="320" w:firstLineChars="100"/>
        <w:jc w:val="both"/>
        <w:textAlignment w:val="auto"/>
        <w:rPr>
          <w:rFonts w:hint="default"/>
        </w:rPr>
      </w:pPr>
      <w:r>
        <w:rPr>
          <w:rFonts w:hint="eastAsia" w:ascii="黑体" w:hAnsi="黑体" w:eastAsia="黑体" w:cs="黑体"/>
          <w:b w:val="0"/>
          <w:bCs w:val="0"/>
          <w:kern w:val="0"/>
          <w:sz w:val="32"/>
          <w:szCs w:val="32"/>
          <w:lang w:val="en-US" w:eastAsia="zh-CN"/>
        </w:rPr>
        <w:t>九、</w:t>
      </w:r>
      <w:r>
        <w:rPr>
          <w:rFonts w:hint="default" w:ascii="黑体" w:hAnsi="黑体" w:eastAsia="黑体" w:cs="黑体"/>
          <w:b w:val="0"/>
          <w:bCs w:val="0"/>
          <w:kern w:val="0"/>
          <w:sz w:val="32"/>
          <w:szCs w:val="32"/>
        </w:rPr>
        <w:t>政府性基金预算财政拨款支出决算情况说明</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lang w:eastAsia="zh-CN"/>
        </w:rPr>
      </w:pPr>
      <w:r>
        <w:rPr>
          <w:rFonts w:hint="default" w:ascii="Times New Roman" w:hAnsi="Times New Roman" w:eastAsia="仿宋_GB2312" w:cs="Times New Roman"/>
          <w:kern w:val="0"/>
          <w:sz w:val="32"/>
          <w:szCs w:val="32"/>
        </w:rPr>
        <w:t>内蒙古</w:t>
      </w:r>
      <w:r>
        <w:rPr>
          <w:rFonts w:hint="eastAsia" w:eastAsia="仿宋_GB2312" w:cs="Times New Roman"/>
          <w:kern w:val="0"/>
          <w:sz w:val="32"/>
          <w:szCs w:val="32"/>
          <w:lang w:val="en-US" w:eastAsia="zh-CN"/>
        </w:rPr>
        <w:t>大兴安岭森林公安局莫尔道嘎</w:t>
      </w:r>
      <w:r>
        <w:rPr>
          <w:rFonts w:hint="eastAsia" w:ascii="Times New Roman" w:hAnsi="Times New Roman" w:eastAsia="仿宋_GB2312" w:cs="Times New Roman"/>
          <w:kern w:val="0"/>
          <w:sz w:val="32"/>
          <w:szCs w:val="32"/>
          <w:lang w:val="en-US" w:eastAsia="zh-CN"/>
        </w:rPr>
        <w:t>分局</w:t>
      </w:r>
      <w:r>
        <w:rPr>
          <w:rFonts w:hint="default" w:ascii="Times New Roman" w:hAnsi="Times New Roman" w:eastAsia="仿宋_GB2312" w:cs="Times New Roman"/>
          <w:kern w:val="0"/>
          <w:sz w:val="32"/>
          <w:szCs w:val="32"/>
        </w:rPr>
        <w:t>202</w:t>
      </w:r>
      <w:r>
        <w:rPr>
          <w:rFonts w:hint="eastAsia" w:eastAsia="仿宋_GB2312" w:cs="Times New Roman"/>
          <w:kern w:val="0"/>
          <w:sz w:val="32"/>
          <w:szCs w:val="32"/>
          <w:lang w:val="en-US" w:eastAsia="zh-CN"/>
        </w:rPr>
        <w:t>5</w:t>
      </w:r>
      <w:r>
        <w:rPr>
          <w:rFonts w:hint="default" w:ascii="Times New Roman" w:hAnsi="Times New Roman" w:eastAsia="仿宋_GB2312" w:cs="Times New Roman"/>
          <w:kern w:val="0"/>
          <w:sz w:val="32"/>
          <w:szCs w:val="32"/>
        </w:rPr>
        <w:t>年度政府性基金预算财政拨款支出决算</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万元。与上年决算相比，增</w:t>
      </w:r>
      <w:r>
        <w:rPr>
          <w:rFonts w:hint="eastAsia" w:eastAsia="仿宋_GB2312" w:cs="Times New Roman"/>
          <w:kern w:val="0"/>
          <w:sz w:val="32"/>
          <w:szCs w:val="32"/>
          <w:lang w:val="en-US" w:eastAsia="zh-CN"/>
        </w:rPr>
        <w:t>加0.00</w:t>
      </w:r>
      <w:r>
        <w:rPr>
          <w:rFonts w:hint="default" w:ascii="Times New Roman" w:hAnsi="Times New Roman" w:eastAsia="仿宋_GB2312" w:cs="Times New Roman"/>
          <w:kern w:val="0"/>
          <w:sz w:val="32"/>
          <w:szCs w:val="32"/>
        </w:rPr>
        <w:t>万元，增长</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%，变动原因</w:t>
      </w:r>
      <w:r>
        <w:rPr>
          <w:rFonts w:hint="eastAsia" w:eastAsia="仿宋_GB2312" w:cs="Times New Roman"/>
          <w:kern w:val="0"/>
          <w:sz w:val="32"/>
          <w:szCs w:val="32"/>
          <w:lang w:eastAsia="zh-CN"/>
        </w:rPr>
        <w:t>：</w:t>
      </w:r>
      <w:r>
        <w:rPr>
          <w:rFonts w:hint="default" w:ascii="Times New Roman" w:hAnsi="Times New Roman" w:eastAsia="仿宋_GB2312" w:cs="Times New Roman"/>
          <w:color w:val="auto"/>
          <w:kern w:val="0"/>
          <w:sz w:val="32"/>
          <w:szCs w:val="32"/>
        </w:rPr>
        <w:t>本</w:t>
      </w:r>
      <w:r>
        <w:rPr>
          <w:rFonts w:hint="eastAsia" w:eastAsia="仿宋_GB2312" w:cs="Times New Roman"/>
          <w:color w:val="auto"/>
          <w:kern w:val="0"/>
          <w:sz w:val="32"/>
          <w:szCs w:val="32"/>
          <w:lang w:eastAsia="zh-CN"/>
        </w:rPr>
        <w:t>年</w:t>
      </w:r>
      <w:r>
        <w:rPr>
          <w:rFonts w:hint="default" w:ascii="Times New Roman" w:hAnsi="Times New Roman" w:eastAsia="仿宋_GB2312" w:cs="Times New Roman"/>
          <w:color w:val="auto"/>
          <w:kern w:val="0"/>
          <w:sz w:val="32"/>
          <w:szCs w:val="32"/>
        </w:rPr>
        <w:t>无政府性基金预算财政拨款收、支、余。</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200" w:firstLine="320" w:firstLineChars="100"/>
        <w:jc w:val="both"/>
        <w:textAlignment w:val="auto"/>
        <w:rPr>
          <w:rFonts w:hint="default"/>
        </w:rPr>
      </w:pPr>
      <w:r>
        <w:rPr>
          <w:rFonts w:hint="eastAsia" w:ascii="黑体" w:hAnsi="黑体" w:eastAsia="黑体" w:cs="黑体"/>
          <w:b w:val="0"/>
          <w:bCs w:val="0"/>
          <w:kern w:val="0"/>
          <w:sz w:val="32"/>
          <w:szCs w:val="32"/>
          <w:lang w:val="en-US" w:eastAsia="zh-CN"/>
        </w:rPr>
        <w:t>十、</w:t>
      </w:r>
      <w:r>
        <w:rPr>
          <w:rFonts w:hint="default" w:ascii="黑体" w:hAnsi="黑体" w:eastAsia="黑体" w:cs="黑体"/>
          <w:b w:val="0"/>
          <w:bCs w:val="0"/>
          <w:kern w:val="0"/>
          <w:sz w:val="32"/>
          <w:szCs w:val="32"/>
        </w:rPr>
        <w:t>国有资本经营预算财政拨款支出决算情况说明</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rPr>
      </w:pPr>
      <w:r>
        <w:rPr>
          <w:rFonts w:hint="default" w:ascii="Times New Roman" w:hAnsi="Times New Roman" w:eastAsia="仿宋_GB2312" w:cs="Times New Roman"/>
          <w:kern w:val="0"/>
          <w:sz w:val="32"/>
          <w:szCs w:val="32"/>
        </w:rPr>
        <w:t>内蒙古</w:t>
      </w:r>
      <w:r>
        <w:rPr>
          <w:rFonts w:hint="eastAsia" w:eastAsia="仿宋_GB2312" w:cs="Times New Roman"/>
          <w:kern w:val="0"/>
          <w:sz w:val="32"/>
          <w:szCs w:val="32"/>
          <w:lang w:val="en-US" w:eastAsia="zh-CN"/>
        </w:rPr>
        <w:t>大兴安岭森林公安局莫尔道嘎分局</w:t>
      </w:r>
      <w:r>
        <w:rPr>
          <w:rFonts w:hint="default" w:ascii="Times New Roman" w:hAnsi="Times New Roman" w:eastAsia="仿宋_GB2312" w:cs="Times New Roman"/>
          <w:kern w:val="0"/>
          <w:sz w:val="32"/>
          <w:szCs w:val="32"/>
        </w:rPr>
        <w:t>202</w:t>
      </w:r>
      <w:r>
        <w:rPr>
          <w:rFonts w:hint="eastAsia" w:eastAsia="仿宋_GB2312" w:cs="Times New Roman"/>
          <w:kern w:val="0"/>
          <w:sz w:val="32"/>
          <w:szCs w:val="32"/>
          <w:lang w:val="en-US" w:eastAsia="zh-CN"/>
        </w:rPr>
        <w:t>5</w:t>
      </w:r>
      <w:r>
        <w:rPr>
          <w:rFonts w:hint="default" w:ascii="Times New Roman" w:hAnsi="Times New Roman" w:eastAsia="仿宋_GB2312" w:cs="Times New Roman"/>
          <w:kern w:val="0"/>
          <w:sz w:val="32"/>
          <w:szCs w:val="32"/>
        </w:rPr>
        <w:t>年度国有资本经营预算财政拨款支出决算</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万元。与上年决算相比，增加</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万元，增长</w:t>
      </w:r>
      <w:r>
        <w:rPr>
          <w:rFonts w:hint="eastAsia" w:eastAsia="仿宋_GB2312" w:cs="Times New Roman"/>
          <w:kern w:val="0"/>
          <w:sz w:val="32"/>
          <w:szCs w:val="32"/>
          <w:lang w:val="en-US" w:eastAsia="zh-CN"/>
        </w:rPr>
        <w:t>0.00</w:t>
      </w:r>
      <w:r>
        <w:rPr>
          <w:rFonts w:hint="default" w:ascii="Times New Roman" w:hAnsi="Times New Roman" w:eastAsia="仿宋_GB2312" w:cs="Times New Roman"/>
          <w:kern w:val="0"/>
          <w:sz w:val="32"/>
          <w:szCs w:val="32"/>
        </w:rPr>
        <w:t>%，变动原因：</w:t>
      </w:r>
      <w:r>
        <w:rPr>
          <w:rFonts w:hint="default" w:ascii="Times New Roman" w:hAnsi="Times New Roman" w:eastAsia="仿宋_GB2312" w:cs="Times New Roman"/>
          <w:color w:val="auto"/>
          <w:kern w:val="0"/>
          <w:sz w:val="32"/>
          <w:szCs w:val="32"/>
        </w:rPr>
        <w:t>本</w:t>
      </w:r>
      <w:r>
        <w:rPr>
          <w:rFonts w:hint="eastAsia" w:eastAsia="仿宋_GB2312" w:cs="Times New Roman"/>
          <w:color w:val="auto"/>
          <w:kern w:val="0"/>
          <w:sz w:val="32"/>
          <w:szCs w:val="32"/>
          <w:lang w:eastAsia="zh-CN"/>
        </w:rPr>
        <w:t>年</w:t>
      </w:r>
      <w:r>
        <w:rPr>
          <w:rFonts w:hint="default" w:ascii="Times New Roman" w:hAnsi="Times New Roman" w:eastAsia="仿宋_GB2312" w:cs="Times New Roman"/>
          <w:color w:val="auto"/>
          <w:kern w:val="0"/>
          <w:sz w:val="32"/>
          <w:szCs w:val="32"/>
        </w:rPr>
        <w:t>无国有资本经营预算财政拨款收、支、余。</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200" w:firstLine="320" w:firstLineChars="100"/>
        <w:jc w:val="both"/>
        <w:textAlignment w:val="auto"/>
        <w:rPr>
          <w:rFonts w:hint="default"/>
        </w:rPr>
      </w:pPr>
      <w:r>
        <w:rPr>
          <w:rFonts w:hint="eastAsia" w:ascii="黑体" w:hAnsi="黑体" w:eastAsia="黑体" w:cs="黑体"/>
          <w:b w:val="0"/>
          <w:bCs w:val="0"/>
          <w:kern w:val="0"/>
          <w:sz w:val="32"/>
          <w:szCs w:val="32"/>
          <w:lang w:val="en-US" w:eastAsia="zh-CN"/>
        </w:rPr>
        <w:t>十一、</w:t>
      </w:r>
      <w:r>
        <w:rPr>
          <w:rFonts w:hint="default" w:ascii="黑体" w:hAnsi="黑体" w:eastAsia="黑体" w:cs="黑体"/>
          <w:b w:val="0"/>
          <w:bCs w:val="0"/>
          <w:kern w:val="0"/>
          <w:sz w:val="32"/>
          <w:szCs w:val="32"/>
        </w:rPr>
        <w:t>机</w:t>
      </w:r>
      <w:r>
        <w:rPr>
          <w:rFonts w:hint="eastAsia" w:ascii="黑体" w:hAnsi="黑体" w:eastAsia="黑体" w:cs="黑体"/>
          <w:b w:val="0"/>
          <w:bCs w:val="0"/>
          <w:kern w:val="0"/>
          <w:sz w:val="32"/>
          <w:szCs w:val="32"/>
          <w:lang w:val="en-US" w:eastAsia="zh-CN"/>
        </w:rPr>
        <w:t>关</w:t>
      </w:r>
      <w:r>
        <w:rPr>
          <w:rFonts w:hint="default" w:ascii="黑体" w:hAnsi="黑体" w:eastAsia="黑体" w:cs="黑体"/>
          <w:b w:val="0"/>
          <w:bCs w:val="0"/>
          <w:kern w:val="0"/>
          <w:sz w:val="32"/>
          <w:szCs w:val="32"/>
        </w:rPr>
        <w:t>运行经费</w:t>
      </w:r>
      <w:r>
        <w:rPr>
          <w:rFonts w:hint="eastAsia" w:ascii="黑体" w:hAnsi="黑体" w:eastAsia="黑体" w:cs="黑体"/>
          <w:b w:val="0"/>
          <w:bCs w:val="0"/>
          <w:kern w:val="0"/>
          <w:sz w:val="32"/>
          <w:szCs w:val="32"/>
          <w:lang w:eastAsia="zh-CN"/>
        </w:rPr>
        <w:t>（</w:t>
      </w:r>
      <w:r>
        <w:rPr>
          <w:rFonts w:hint="eastAsia" w:ascii="黑体" w:hAnsi="黑体" w:eastAsia="黑体" w:cs="黑体"/>
          <w:b w:val="0"/>
          <w:bCs w:val="0"/>
          <w:kern w:val="0"/>
          <w:sz w:val="32"/>
          <w:szCs w:val="32"/>
          <w:lang w:val="en-US" w:eastAsia="zh-CN"/>
        </w:rPr>
        <w:t>公用经费）</w:t>
      </w:r>
      <w:r>
        <w:rPr>
          <w:rFonts w:hint="default" w:ascii="黑体" w:hAnsi="黑体" w:eastAsia="黑体" w:cs="黑体"/>
          <w:b w:val="0"/>
          <w:bCs w:val="0"/>
          <w:kern w:val="0"/>
          <w:sz w:val="32"/>
          <w:szCs w:val="32"/>
        </w:rPr>
        <w:t>支出决算情况说明</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黑体" w:hAnsi="黑体" w:eastAsia="仿宋_GB2312" w:cs="黑体"/>
          <w:b w:val="0"/>
          <w:bCs w:val="0"/>
          <w:color w:val="auto"/>
          <w:kern w:val="0"/>
          <w:sz w:val="32"/>
          <w:szCs w:val="32"/>
          <w:lang w:val="en-US" w:eastAsia="zh-CN"/>
        </w:rPr>
      </w:pPr>
      <w:r>
        <w:rPr>
          <w:rFonts w:hint="default" w:ascii="Times New Roman" w:hAnsi="Times New Roman" w:eastAsia="仿宋_GB2312" w:cs="Times New Roman"/>
          <w:kern w:val="0"/>
          <w:sz w:val="32"/>
          <w:szCs w:val="32"/>
        </w:rPr>
        <w:t>内蒙古</w:t>
      </w:r>
      <w:r>
        <w:rPr>
          <w:rFonts w:hint="eastAsia" w:eastAsia="仿宋_GB2312" w:cs="Times New Roman"/>
          <w:kern w:val="0"/>
          <w:sz w:val="32"/>
          <w:szCs w:val="32"/>
          <w:lang w:val="en-US" w:eastAsia="zh-CN"/>
        </w:rPr>
        <w:t>大兴安岭森林公安局莫尔道嘎分局</w:t>
      </w:r>
      <w:r>
        <w:rPr>
          <w:rFonts w:hint="default" w:ascii="Times New Roman" w:hAnsi="Times New Roman" w:eastAsia="仿宋_GB2312" w:cs="Times New Roman"/>
          <w:kern w:val="0"/>
          <w:sz w:val="32"/>
          <w:szCs w:val="32"/>
        </w:rPr>
        <w:t>202</w:t>
      </w:r>
      <w:r>
        <w:rPr>
          <w:rFonts w:hint="eastAsia" w:eastAsia="仿宋_GB2312" w:cs="Times New Roman"/>
          <w:kern w:val="0"/>
          <w:sz w:val="32"/>
          <w:szCs w:val="32"/>
          <w:lang w:val="en-US" w:eastAsia="zh-CN"/>
        </w:rPr>
        <w:t>5</w:t>
      </w:r>
      <w:r>
        <w:rPr>
          <w:rFonts w:hint="default" w:ascii="Times New Roman" w:hAnsi="Times New Roman" w:eastAsia="仿宋_GB2312" w:cs="Times New Roman"/>
          <w:kern w:val="0"/>
          <w:sz w:val="32"/>
          <w:szCs w:val="32"/>
        </w:rPr>
        <w:t>年度</w:t>
      </w:r>
      <w:r>
        <w:rPr>
          <w:rFonts w:hint="eastAsia" w:eastAsia="仿宋_GB2312" w:cs="Times New Roman"/>
          <w:kern w:val="0"/>
          <w:sz w:val="32"/>
          <w:szCs w:val="32"/>
          <w:lang w:val="en-US" w:eastAsia="zh-CN"/>
        </w:rPr>
        <w:t>公用</w:t>
      </w:r>
      <w:r>
        <w:rPr>
          <w:rFonts w:hint="default" w:ascii="Times New Roman" w:hAnsi="Times New Roman" w:eastAsia="仿宋_GB2312" w:cs="Times New Roman"/>
          <w:kern w:val="0"/>
          <w:sz w:val="32"/>
          <w:szCs w:val="32"/>
        </w:rPr>
        <w:t>经费支出决算</w:t>
      </w:r>
      <w:r>
        <w:rPr>
          <w:rFonts w:hint="eastAsia" w:eastAsia="仿宋_GB2312" w:cs="Times New Roman"/>
          <w:kern w:val="0"/>
          <w:sz w:val="32"/>
          <w:szCs w:val="32"/>
          <w:lang w:val="en-US" w:eastAsia="zh-CN"/>
        </w:rPr>
        <w:t>332.34</w:t>
      </w:r>
      <w:r>
        <w:rPr>
          <w:rFonts w:hint="default" w:ascii="Times New Roman" w:hAnsi="Times New Roman" w:eastAsia="仿宋_GB2312" w:cs="Times New Roman"/>
          <w:kern w:val="0"/>
          <w:sz w:val="32"/>
          <w:szCs w:val="32"/>
        </w:rPr>
        <w:t>万元。</w:t>
      </w:r>
      <w:r>
        <w:rPr>
          <w:rFonts w:hint="eastAsia" w:eastAsia="仿宋_GB2312" w:cs="Times New Roman"/>
          <w:kern w:val="0"/>
          <w:sz w:val="32"/>
          <w:szCs w:val="32"/>
          <w:lang w:val="en-US" w:eastAsia="zh-CN"/>
        </w:rPr>
        <w:t>与</w:t>
      </w:r>
      <w:r>
        <w:rPr>
          <w:rFonts w:hint="default" w:ascii="Times New Roman" w:hAnsi="Times New Roman" w:eastAsia="仿宋_GB2312" w:cs="Times New Roman"/>
          <w:kern w:val="0"/>
          <w:sz w:val="32"/>
          <w:szCs w:val="32"/>
        </w:rPr>
        <w:t>上年决算相比，</w:t>
      </w:r>
      <w:r>
        <w:rPr>
          <w:rFonts w:hint="eastAsia" w:eastAsia="仿宋_GB2312" w:cs="Times New Roman"/>
          <w:kern w:val="0"/>
          <w:sz w:val="32"/>
          <w:szCs w:val="32"/>
          <w:lang w:eastAsia="zh-CN"/>
        </w:rPr>
        <w:t>减少</w:t>
      </w:r>
      <w:r>
        <w:rPr>
          <w:rFonts w:hint="eastAsia" w:eastAsia="仿宋_GB2312" w:cs="Times New Roman"/>
          <w:kern w:val="0"/>
          <w:sz w:val="32"/>
          <w:szCs w:val="32"/>
          <w:lang w:val="en-US" w:eastAsia="zh-CN"/>
        </w:rPr>
        <w:t>22.20</w:t>
      </w:r>
      <w:r>
        <w:rPr>
          <w:rFonts w:hint="default" w:ascii="Times New Roman" w:hAnsi="Times New Roman" w:eastAsia="仿宋_GB2312" w:cs="Times New Roman"/>
          <w:kern w:val="0"/>
          <w:sz w:val="32"/>
          <w:szCs w:val="32"/>
        </w:rPr>
        <w:t>万元，</w:t>
      </w:r>
      <w:r>
        <w:rPr>
          <w:rFonts w:hint="eastAsia" w:eastAsia="仿宋_GB2312" w:cs="Times New Roman"/>
          <w:kern w:val="0"/>
          <w:sz w:val="32"/>
          <w:szCs w:val="32"/>
          <w:lang w:eastAsia="zh-CN"/>
        </w:rPr>
        <w:t>下降</w:t>
      </w:r>
      <w:r>
        <w:rPr>
          <w:rFonts w:hint="eastAsia" w:eastAsia="仿宋_GB2312" w:cs="Times New Roman"/>
          <w:kern w:val="0"/>
          <w:sz w:val="32"/>
          <w:szCs w:val="32"/>
          <w:lang w:val="en-US" w:eastAsia="zh-CN"/>
        </w:rPr>
        <w:t>6.26</w:t>
      </w:r>
      <w:r>
        <w:rPr>
          <w:rFonts w:hint="default" w:ascii="Times New Roman" w:hAnsi="Times New Roman" w:eastAsia="仿宋_GB2312" w:cs="Times New Roman"/>
          <w:kern w:val="0"/>
          <w:sz w:val="32"/>
          <w:szCs w:val="32"/>
        </w:rPr>
        <w:t>%，</w:t>
      </w:r>
      <w:r>
        <w:rPr>
          <w:rFonts w:hint="default" w:ascii="Times New Roman" w:hAnsi="Times New Roman" w:eastAsia="仿宋_GB2312" w:cs="Times New Roman"/>
          <w:color w:val="auto"/>
          <w:kern w:val="0"/>
          <w:sz w:val="32"/>
          <w:szCs w:val="32"/>
        </w:rPr>
        <w:t>变动原因</w:t>
      </w:r>
      <w:r>
        <w:rPr>
          <w:rFonts w:hint="eastAsia" w:eastAsia="仿宋_GB2312" w:cs="Times New Roman"/>
          <w:color w:val="auto"/>
          <w:kern w:val="0"/>
          <w:sz w:val="32"/>
          <w:szCs w:val="32"/>
          <w:lang w:eastAsia="zh-CN"/>
        </w:rPr>
        <w:t>：</w:t>
      </w:r>
      <w:r>
        <w:rPr>
          <w:rFonts w:hint="eastAsia" w:eastAsia="仿宋_GB2312" w:cs="Times New Roman"/>
          <w:color w:val="auto"/>
          <w:kern w:val="0"/>
          <w:sz w:val="32"/>
          <w:szCs w:val="32"/>
          <w:lang w:val="en-US" w:eastAsia="zh-CN"/>
        </w:rPr>
        <w:t>公用经费部分计提基数发生调整，导致经费减少</w:t>
      </w:r>
      <w:r>
        <w:rPr>
          <w:rFonts w:hint="default" w:ascii="Times New Roman" w:hAnsi="Times New Roman" w:eastAsia="仿宋_GB2312" w:cs="Times New Roman"/>
          <w:color w:val="auto"/>
          <w:kern w:val="0"/>
          <w:sz w:val="32"/>
          <w:szCs w:val="32"/>
        </w:rPr>
        <w:t>。</w:t>
      </w:r>
      <w:r>
        <w:rPr>
          <w:rFonts w:hint="eastAsia" w:eastAsia="仿宋_GB2312" w:cs="Times New Roman"/>
          <w:color w:val="auto"/>
          <w:kern w:val="0"/>
          <w:sz w:val="32"/>
          <w:szCs w:val="32"/>
          <w:lang w:eastAsia="zh-CN"/>
        </w:rPr>
        <w:t>其中，机关运行经费支出决算</w:t>
      </w:r>
      <w:r>
        <w:rPr>
          <w:rFonts w:hint="eastAsia" w:eastAsia="仿宋_GB2312" w:cs="Times New Roman"/>
          <w:color w:val="auto"/>
          <w:kern w:val="0"/>
          <w:sz w:val="32"/>
          <w:szCs w:val="32"/>
          <w:lang w:val="en-US" w:eastAsia="zh-CN"/>
        </w:rPr>
        <w:t>332.34万元。比上年决算相比，减少22.20万元，下降6.26%，变动原因：公用经费部分计提基数发生调整，导致经费减少。</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200" w:firstLine="320" w:firstLineChars="100"/>
        <w:jc w:val="both"/>
        <w:textAlignment w:val="auto"/>
        <w:rPr>
          <w:rFonts w:hint="default"/>
        </w:rPr>
      </w:pPr>
      <w:r>
        <w:rPr>
          <w:rFonts w:hint="eastAsia" w:ascii="黑体" w:hAnsi="黑体" w:eastAsia="黑体" w:cs="黑体"/>
          <w:b w:val="0"/>
          <w:bCs w:val="0"/>
          <w:kern w:val="0"/>
          <w:sz w:val="32"/>
          <w:szCs w:val="32"/>
          <w:lang w:val="en-US" w:eastAsia="zh-CN"/>
        </w:rPr>
        <w:t>十二、</w:t>
      </w:r>
      <w:r>
        <w:rPr>
          <w:rFonts w:hint="default" w:ascii="黑体" w:hAnsi="黑体" w:eastAsia="黑体" w:cs="黑体"/>
          <w:b w:val="0"/>
          <w:bCs w:val="0"/>
          <w:kern w:val="0"/>
          <w:sz w:val="32"/>
          <w:szCs w:val="32"/>
        </w:rPr>
        <w:t>政府采购支出决算情况说明</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黑体" w:hAnsi="黑体" w:eastAsia="黑体" w:cs="黑体"/>
          <w:b w:val="0"/>
          <w:bCs w:val="0"/>
          <w:color w:val="auto"/>
          <w:kern w:val="0"/>
          <w:sz w:val="32"/>
          <w:szCs w:val="32"/>
        </w:rPr>
      </w:pPr>
      <w:r>
        <w:rPr>
          <w:rFonts w:hint="default" w:ascii="Times New Roman" w:hAnsi="Times New Roman" w:eastAsia="仿宋_GB2312" w:cs="Times New Roman"/>
          <w:color w:val="auto"/>
          <w:kern w:val="0"/>
          <w:sz w:val="32"/>
          <w:szCs w:val="32"/>
        </w:rPr>
        <w:t>内蒙古</w:t>
      </w:r>
      <w:r>
        <w:rPr>
          <w:rFonts w:hint="eastAsia" w:eastAsia="仿宋_GB2312" w:cs="Times New Roman"/>
          <w:color w:val="auto"/>
          <w:kern w:val="0"/>
          <w:sz w:val="32"/>
          <w:szCs w:val="32"/>
          <w:lang w:val="en-US" w:eastAsia="zh-CN"/>
        </w:rPr>
        <w:t>大兴安岭森林公安局莫尔道嘎分局</w:t>
      </w:r>
      <w:r>
        <w:rPr>
          <w:rFonts w:hint="default" w:ascii="Times New Roman" w:hAnsi="Times New Roman" w:eastAsia="仿宋_GB2312" w:cs="Times New Roman"/>
          <w:color w:val="auto"/>
          <w:kern w:val="0"/>
          <w:sz w:val="32"/>
          <w:szCs w:val="32"/>
        </w:rPr>
        <w:t>202</w:t>
      </w:r>
      <w:r>
        <w:rPr>
          <w:rFonts w:hint="eastAsia" w:eastAsia="仿宋_GB2312" w:cs="Times New Roman"/>
          <w:color w:val="auto"/>
          <w:kern w:val="0"/>
          <w:sz w:val="32"/>
          <w:szCs w:val="32"/>
          <w:lang w:val="en-US" w:eastAsia="zh-CN"/>
        </w:rPr>
        <w:t>5</w:t>
      </w:r>
      <w:r>
        <w:rPr>
          <w:rFonts w:hint="default" w:ascii="Times New Roman" w:hAnsi="Times New Roman" w:eastAsia="仿宋_GB2312" w:cs="Times New Roman"/>
          <w:color w:val="auto"/>
          <w:kern w:val="0"/>
          <w:sz w:val="32"/>
          <w:szCs w:val="32"/>
        </w:rPr>
        <w:t>年度政府采购支出总额</w:t>
      </w:r>
      <w:r>
        <w:rPr>
          <w:rFonts w:hint="eastAsia" w:eastAsia="仿宋_GB2312" w:cs="Times New Roman"/>
          <w:color w:val="auto"/>
          <w:kern w:val="0"/>
          <w:sz w:val="32"/>
          <w:szCs w:val="32"/>
          <w:lang w:val="en-US" w:eastAsia="zh-CN"/>
        </w:rPr>
        <w:t>63.38</w:t>
      </w:r>
      <w:r>
        <w:rPr>
          <w:rFonts w:hint="default" w:ascii="Times New Roman" w:hAnsi="Times New Roman" w:eastAsia="仿宋_GB2312" w:cs="Times New Roman"/>
          <w:color w:val="auto"/>
          <w:kern w:val="0"/>
          <w:sz w:val="32"/>
          <w:szCs w:val="32"/>
        </w:rPr>
        <w:t>万元，其中：政府采购货物支出</w:t>
      </w:r>
      <w:r>
        <w:rPr>
          <w:rFonts w:hint="eastAsia" w:eastAsia="仿宋_GB2312" w:cs="Times New Roman"/>
          <w:color w:val="auto"/>
          <w:kern w:val="0"/>
          <w:sz w:val="32"/>
          <w:szCs w:val="32"/>
          <w:lang w:val="en-US" w:eastAsia="zh-CN"/>
        </w:rPr>
        <w:t>1.00</w:t>
      </w:r>
      <w:r>
        <w:rPr>
          <w:rFonts w:hint="default" w:ascii="Times New Roman" w:hAnsi="Times New Roman" w:eastAsia="仿宋_GB2312" w:cs="Times New Roman"/>
          <w:color w:val="auto"/>
          <w:kern w:val="0"/>
          <w:sz w:val="32"/>
          <w:szCs w:val="32"/>
        </w:rPr>
        <w:t>万元、政府采购工程支出</w:t>
      </w:r>
      <w:r>
        <w:rPr>
          <w:rFonts w:hint="eastAsia" w:eastAsia="仿宋_GB2312" w:cs="Times New Roman"/>
          <w:color w:val="auto"/>
          <w:kern w:val="0"/>
          <w:sz w:val="32"/>
          <w:szCs w:val="32"/>
          <w:lang w:val="en-US" w:eastAsia="zh-CN"/>
        </w:rPr>
        <w:t>0.00</w:t>
      </w:r>
      <w:r>
        <w:rPr>
          <w:rFonts w:hint="default" w:ascii="Times New Roman" w:hAnsi="Times New Roman" w:eastAsia="仿宋_GB2312" w:cs="Times New Roman"/>
          <w:color w:val="auto"/>
          <w:kern w:val="0"/>
          <w:sz w:val="32"/>
          <w:szCs w:val="32"/>
        </w:rPr>
        <w:t>万元、政府采购服务支出</w:t>
      </w:r>
      <w:r>
        <w:rPr>
          <w:rFonts w:hint="eastAsia" w:eastAsia="仿宋_GB2312" w:cs="Times New Roman"/>
          <w:color w:val="auto"/>
          <w:kern w:val="0"/>
          <w:sz w:val="32"/>
          <w:szCs w:val="32"/>
          <w:lang w:val="en-US" w:eastAsia="zh-CN"/>
        </w:rPr>
        <w:t>62.38</w:t>
      </w:r>
      <w:r>
        <w:rPr>
          <w:rFonts w:hint="default" w:ascii="Times New Roman" w:hAnsi="Times New Roman" w:eastAsia="仿宋_GB2312" w:cs="Times New Roman"/>
          <w:color w:val="auto"/>
          <w:kern w:val="0"/>
          <w:sz w:val="32"/>
          <w:szCs w:val="32"/>
        </w:rPr>
        <w:t>万元。政府采购授予中小企业合同金额</w:t>
      </w:r>
      <w:r>
        <w:rPr>
          <w:rFonts w:hint="eastAsia" w:eastAsia="仿宋_GB2312" w:cs="Times New Roman"/>
          <w:color w:val="auto"/>
          <w:kern w:val="0"/>
          <w:sz w:val="32"/>
          <w:szCs w:val="32"/>
          <w:lang w:val="en-US" w:eastAsia="zh-CN"/>
        </w:rPr>
        <w:t>42.20万</w:t>
      </w:r>
      <w:r>
        <w:rPr>
          <w:rFonts w:hint="default" w:ascii="Times New Roman" w:hAnsi="Times New Roman" w:eastAsia="仿宋_GB2312" w:cs="Times New Roman"/>
          <w:color w:val="auto"/>
          <w:kern w:val="0"/>
          <w:sz w:val="32"/>
          <w:szCs w:val="32"/>
        </w:rPr>
        <w:t>元，占政府采购支出总额的</w:t>
      </w:r>
      <w:r>
        <w:rPr>
          <w:rFonts w:hint="eastAsia" w:eastAsia="仿宋_GB2312" w:cs="Times New Roman"/>
          <w:color w:val="auto"/>
          <w:kern w:val="0"/>
          <w:sz w:val="32"/>
          <w:szCs w:val="32"/>
          <w:lang w:val="en-US" w:eastAsia="zh-CN"/>
        </w:rPr>
        <w:t>66.58</w:t>
      </w:r>
      <w:r>
        <w:rPr>
          <w:rFonts w:hint="default" w:ascii="Times New Roman" w:hAnsi="Times New Roman" w:eastAsia="仿宋_GB2312" w:cs="Times New Roman"/>
          <w:color w:val="auto"/>
          <w:kern w:val="0"/>
          <w:sz w:val="32"/>
          <w:szCs w:val="32"/>
        </w:rPr>
        <w:t>%，其中：授予小微企业合同金额</w:t>
      </w:r>
      <w:r>
        <w:rPr>
          <w:rFonts w:hint="eastAsia" w:eastAsia="仿宋_GB2312" w:cs="Times New Roman"/>
          <w:color w:val="auto"/>
          <w:kern w:val="0"/>
          <w:sz w:val="32"/>
          <w:szCs w:val="32"/>
          <w:lang w:val="en-US" w:eastAsia="zh-CN"/>
        </w:rPr>
        <w:t>42.20</w:t>
      </w:r>
      <w:r>
        <w:rPr>
          <w:rFonts w:hint="default" w:ascii="Times New Roman" w:hAnsi="Times New Roman" w:eastAsia="仿宋_GB2312" w:cs="Times New Roman"/>
          <w:color w:val="auto"/>
          <w:kern w:val="0"/>
          <w:sz w:val="32"/>
          <w:szCs w:val="32"/>
        </w:rPr>
        <w:t>万元，占政府采购支出总额的</w:t>
      </w:r>
      <w:r>
        <w:rPr>
          <w:rFonts w:hint="eastAsia" w:eastAsia="仿宋_GB2312" w:cs="Times New Roman"/>
          <w:color w:val="auto"/>
          <w:kern w:val="0"/>
          <w:sz w:val="32"/>
          <w:szCs w:val="32"/>
          <w:lang w:val="en-US" w:eastAsia="zh-CN"/>
        </w:rPr>
        <w:t>66.58</w:t>
      </w:r>
      <w:r>
        <w:rPr>
          <w:rFonts w:hint="default" w:ascii="Times New Roman" w:hAnsi="Times New Roman" w:eastAsia="仿宋_GB2312" w:cs="Times New Roman"/>
          <w:color w:val="auto"/>
          <w:kern w:val="0"/>
          <w:sz w:val="32"/>
          <w:szCs w:val="32"/>
        </w:rPr>
        <w:t>%；货物采购授予中小企业合同金额占货物支出金额的</w:t>
      </w:r>
      <w:r>
        <w:rPr>
          <w:rFonts w:hint="eastAsia" w:eastAsia="仿宋_GB2312" w:cs="Times New Roman"/>
          <w:color w:val="auto"/>
          <w:kern w:val="0"/>
          <w:sz w:val="32"/>
          <w:szCs w:val="32"/>
          <w:lang w:val="en-US" w:eastAsia="zh-CN"/>
        </w:rPr>
        <w:t>100.00</w:t>
      </w:r>
      <w:r>
        <w:rPr>
          <w:rFonts w:hint="default" w:ascii="Times New Roman" w:hAnsi="Times New Roman" w:eastAsia="仿宋_GB2312" w:cs="Times New Roman"/>
          <w:color w:val="auto"/>
          <w:kern w:val="0"/>
          <w:sz w:val="32"/>
          <w:szCs w:val="32"/>
        </w:rPr>
        <w:t>%，工程采购授予中小企业合同金额占工程支出金额的</w:t>
      </w:r>
      <w:r>
        <w:rPr>
          <w:rFonts w:hint="eastAsia" w:eastAsia="仿宋_GB2312" w:cs="Times New Roman"/>
          <w:color w:val="auto"/>
          <w:kern w:val="0"/>
          <w:sz w:val="32"/>
          <w:szCs w:val="32"/>
          <w:lang w:val="en-US" w:eastAsia="zh-CN"/>
        </w:rPr>
        <w:t>0.00</w:t>
      </w:r>
      <w:r>
        <w:rPr>
          <w:rFonts w:hint="default" w:ascii="Times New Roman" w:hAnsi="Times New Roman" w:eastAsia="仿宋_GB2312" w:cs="Times New Roman"/>
          <w:color w:val="auto"/>
          <w:kern w:val="0"/>
          <w:sz w:val="32"/>
          <w:szCs w:val="32"/>
        </w:rPr>
        <w:t>%，服务采购授予中小企业合同金额占服务支出金额的</w:t>
      </w:r>
      <w:r>
        <w:rPr>
          <w:rFonts w:hint="eastAsia" w:eastAsia="仿宋_GB2312" w:cs="Times New Roman"/>
          <w:color w:val="auto"/>
          <w:kern w:val="0"/>
          <w:sz w:val="32"/>
          <w:szCs w:val="32"/>
          <w:lang w:val="en-US" w:eastAsia="zh-CN"/>
        </w:rPr>
        <w:t>67.65</w:t>
      </w:r>
      <w:r>
        <w:rPr>
          <w:rFonts w:hint="default" w:ascii="Times New Roman" w:hAnsi="Times New Roman" w:eastAsia="仿宋_GB2312" w:cs="Times New Roman"/>
          <w:color w:val="auto"/>
          <w:kern w:val="0"/>
          <w:sz w:val="32"/>
          <w:szCs w:val="32"/>
        </w:rPr>
        <w:t>%。</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200" w:firstLine="320" w:firstLineChars="100"/>
        <w:jc w:val="both"/>
        <w:textAlignment w:val="auto"/>
        <w:rPr>
          <w:rFonts w:hint="default"/>
        </w:rPr>
      </w:pPr>
      <w:r>
        <w:rPr>
          <w:rFonts w:hint="eastAsia" w:ascii="黑体" w:hAnsi="黑体" w:eastAsia="黑体" w:cs="黑体"/>
          <w:b w:val="0"/>
          <w:bCs w:val="0"/>
          <w:kern w:val="0"/>
          <w:sz w:val="32"/>
          <w:szCs w:val="32"/>
          <w:lang w:val="en-US" w:eastAsia="zh-CN"/>
        </w:rPr>
        <w:t>十三、</w:t>
      </w:r>
      <w:r>
        <w:rPr>
          <w:rFonts w:hint="default" w:ascii="黑体" w:hAnsi="黑体" w:eastAsia="黑体" w:cs="黑体"/>
          <w:b w:val="0"/>
          <w:bCs w:val="0"/>
          <w:kern w:val="0"/>
          <w:sz w:val="32"/>
          <w:szCs w:val="32"/>
        </w:rPr>
        <w:t>国有资产占用情况说明</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黑体" w:hAnsi="黑体" w:eastAsia="黑体" w:cs="黑体"/>
          <w:b w:val="0"/>
          <w:bCs w:val="0"/>
          <w:kern w:val="0"/>
          <w:sz w:val="32"/>
          <w:szCs w:val="32"/>
        </w:rPr>
      </w:pPr>
      <w:r>
        <w:rPr>
          <w:rFonts w:hint="default" w:ascii="Times New Roman" w:hAnsi="Times New Roman" w:eastAsia="仿宋_GB2312" w:cs="Times New Roman"/>
          <w:kern w:val="0"/>
          <w:sz w:val="32"/>
          <w:szCs w:val="32"/>
        </w:rPr>
        <w:t>内蒙古</w:t>
      </w:r>
      <w:r>
        <w:rPr>
          <w:rFonts w:hint="eastAsia" w:eastAsia="仿宋_GB2312" w:cs="Times New Roman"/>
          <w:kern w:val="0"/>
          <w:sz w:val="32"/>
          <w:szCs w:val="32"/>
          <w:lang w:val="en-US" w:eastAsia="zh-CN"/>
        </w:rPr>
        <w:t>大兴安岭森林公安局莫尔道嘎分局</w:t>
      </w:r>
      <w:r>
        <w:rPr>
          <w:rFonts w:hint="default" w:ascii="Times New Roman" w:hAnsi="Times New Roman" w:eastAsia="仿宋_GB2312" w:cs="Times New Roman"/>
          <w:kern w:val="0"/>
          <w:sz w:val="32"/>
          <w:szCs w:val="32"/>
        </w:rPr>
        <w:t>截至202</w:t>
      </w:r>
      <w:r>
        <w:rPr>
          <w:rFonts w:hint="eastAsia" w:eastAsia="仿宋_GB2312" w:cs="Times New Roman"/>
          <w:kern w:val="0"/>
          <w:sz w:val="32"/>
          <w:szCs w:val="32"/>
          <w:lang w:val="en-US" w:eastAsia="zh-CN"/>
        </w:rPr>
        <w:t>5</w:t>
      </w:r>
      <w:r>
        <w:rPr>
          <w:rFonts w:hint="default" w:ascii="Times New Roman" w:hAnsi="Times New Roman" w:eastAsia="仿宋_GB2312" w:cs="Times New Roman"/>
          <w:kern w:val="0"/>
          <w:sz w:val="32"/>
          <w:szCs w:val="32"/>
        </w:rPr>
        <w:t>年12月31日，内蒙古</w:t>
      </w:r>
      <w:r>
        <w:rPr>
          <w:rFonts w:hint="eastAsia" w:eastAsia="仿宋_GB2312" w:cs="Times New Roman"/>
          <w:kern w:val="0"/>
          <w:sz w:val="32"/>
          <w:szCs w:val="32"/>
          <w:lang w:val="en-US" w:eastAsia="zh-CN"/>
        </w:rPr>
        <w:t>大兴安岭森林公安局莫尔道嘎分局</w:t>
      </w:r>
      <w:r>
        <w:rPr>
          <w:rFonts w:hint="default" w:ascii="Times New Roman" w:hAnsi="Times New Roman" w:eastAsia="仿宋_GB2312" w:cs="Times New Roman"/>
          <w:kern w:val="0"/>
          <w:sz w:val="32"/>
          <w:szCs w:val="32"/>
        </w:rPr>
        <w:t>共有车辆</w:t>
      </w:r>
      <w:r>
        <w:rPr>
          <w:rFonts w:hint="eastAsia" w:eastAsia="仿宋_GB2312" w:cs="Times New Roman"/>
          <w:kern w:val="0"/>
          <w:sz w:val="32"/>
          <w:szCs w:val="32"/>
          <w:lang w:val="en-US" w:eastAsia="zh-CN"/>
        </w:rPr>
        <w:t>26</w:t>
      </w:r>
      <w:r>
        <w:rPr>
          <w:rFonts w:hint="default" w:ascii="Times New Roman" w:hAnsi="Times New Roman" w:eastAsia="仿宋_GB2312" w:cs="Times New Roman"/>
          <w:kern w:val="0"/>
          <w:sz w:val="32"/>
          <w:szCs w:val="32"/>
        </w:rPr>
        <w:t>辆，其中：副部（省）级及以上领导用车</w:t>
      </w:r>
      <w:r>
        <w:rPr>
          <w:rFonts w:hint="eastAsia" w:eastAsia="仿宋_GB2312" w:cs="Times New Roman"/>
          <w:kern w:val="0"/>
          <w:sz w:val="32"/>
          <w:szCs w:val="32"/>
          <w:lang w:val="en-US" w:eastAsia="zh-CN"/>
        </w:rPr>
        <w:t>0</w:t>
      </w:r>
      <w:r>
        <w:rPr>
          <w:rFonts w:hint="default" w:ascii="Times New Roman" w:hAnsi="Times New Roman" w:eastAsia="仿宋_GB2312" w:cs="Times New Roman"/>
          <w:kern w:val="0"/>
          <w:sz w:val="32"/>
          <w:szCs w:val="32"/>
        </w:rPr>
        <w:t>辆、主要负责人用车</w:t>
      </w:r>
      <w:r>
        <w:rPr>
          <w:rFonts w:hint="eastAsia" w:eastAsia="仿宋_GB2312" w:cs="Times New Roman"/>
          <w:kern w:val="0"/>
          <w:sz w:val="32"/>
          <w:szCs w:val="32"/>
          <w:lang w:val="en-US" w:eastAsia="zh-CN"/>
        </w:rPr>
        <w:t>0</w:t>
      </w:r>
      <w:r>
        <w:rPr>
          <w:rFonts w:hint="default" w:ascii="Times New Roman" w:hAnsi="Times New Roman" w:eastAsia="仿宋_GB2312" w:cs="Times New Roman"/>
          <w:kern w:val="0"/>
          <w:sz w:val="32"/>
          <w:szCs w:val="32"/>
        </w:rPr>
        <w:t>辆、机要通信用车</w:t>
      </w:r>
      <w:r>
        <w:rPr>
          <w:rFonts w:hint="eastAsia" w:eastAsia="仿宋_GB2312" w:cs="Times New Roman"/>
          <w:kern w:val="0"/>
          <w:sz w:val="32"/>
          <w:szCs w:val="32"/>
          <w:lang w:val="en-US" w:eastAsia="zh-CN"/>
        </w:rPr>
        <w:t>0</w:t>
      </w:r>
      <w:r>
        <w:rPr>
          <w:rFonts w:hint="default" w:ascii="Times New Roman" w:hAnsi="Times New Roman" w:eastAsia="仿宋_GB2312" w:cs="Times New Roman"/>
          <w:kern w:val="0"/>
          <w:sz w:val="32"/>
          <w:szCs w:val="32"/>
        </w:rPr>
        <w:t>辆、应急保障用车</w:t>
      </w:r>
      <w:r>
        <w:rPr>
          <w:rFonts w:hint="eastAsia" w:eastAsia="仿宋_GB2312" w:cs="Times New Roman"/>
          <w:kern w:val="0"/>
          <w:sz w:val="32"/>
          <w:szCs w:val="32"/>
          <w:lang w:val="en-US" w:eastAsia="zh-CN"/>
        </w:rPr>
        <w:t>0</w:t>
      </w:r>
      <w:r>
        <w:rPr>
          <w:rFonts w:hint="default" w:ascii="Times New Roman" w:hAnsi="Times New Roman" w:eastAsia="仿宋_GB2312" w:cs="Times New Roman"/>
          <w:kern w:val="0"/>
          <w:sz w:val="32"/>
          <w:szCs w:val="32"/>
        </w:rPr>
        <w:t>辆、执法执勤用车</w:t>
      </w:r>
      <w:r>
        <w:rPr>
          <w:rFonts w:hint="eastAsia" w:eastAsia="仿宋_GB2312" w:cs="Times New Roman"/>
          <w:kern w:val="0"/>
          <w:sz w:val="32"/>
          <w:szCs w:val="32"/>
          <w:lang w:val="en-US" w:eastAsia="zh-CN"/>
        </w:rPr>
        <w:t>21</w:t>
      </w:r>
      <w:r>
        <w:rPr>
          <w:rFonts w:hint="default" w:ascii="Times New Roman" w:hAnsi="Times New Roman" w:eastAsia="仿宋_GB2312" w:cs="Times New Roman"/>
          <w:kern w:val="0"/>
          <w:sz w:val="32"/>
          <w:szCs w:val="32"/>
        </w:rPr>
        <w:t>辆、特种专业技术用车</w:t>
      </w:r>
      <w:r>
        <w:rPr>
          <w:rFonts w:hint="eastAsia" w:eastAsia="仿宋_GB2312" w:cs="Times New Roman"/>
          <w:kern w:val="0"/>
          <w:sz w:val="32"/>
          <w:szCs w:val="32"/>
          <w:lang w:val="en-US" w:eastAsia="zh-CN"/>
        </w:rPr>
        <w:t>5</w:t>
      </w:r>
      <w:r>
        <w:rPr>
          <w:rFonts w:hint="default" w:ascii="Times New Roman" w:hAnsi="Times New Roman" w:eastAsia="仿宋_GB2312" w:cs="Times New Roman"/>
          <w:kern w:val="0"/>
          <w:sz w:val="32"/>
          <w:szCs w:val="32"/>
        </w:rPr>
        <w:t>辆、离退休干部服务用车</w:t>
      </w:r>
      <w:r>
        <w:rPr>
          <w:rFonts w:hint="eastAsia" w:eastAsia="仿宋_GB2312" w:cs="Times New Roman"/>
          <w:kern w:val="0"/>
          <w:sz w:val="32"/>
          <w:szCs w:val="32"/>
          <w:lang w:val="en-US" w:eastAsia="zh-CN"/>
        </w:rPr>
        <w:t>0</w:t>
      </w:r>
      <w:r>
        <w:rPr>
          <w:rFonts w:hint="default" w:ascii="Times New Roman" w:hAnsi="Times New Roman" w:eastAsia="仿宋_GB2312" w:cs="Times New Roman"/>
          <w:kern w:val="0"/>
          <w:sz w:val="32"/>
          <w:szCs w:val="32"/>
        </w:rPr>
        <w:t>辆，其他用车</w:t>
      </w:r>
      <w:r>
        <w:rPr>
          <w:rFonts w:hint="eastAsia" w:eastAsia="仿宋_GB2312" w:cs="Times New Roman"/>
          <w:kern w:val="0"/>
          <w:sz w:val="32"/>
          <w:szCs w:val="32"/>
          <w:lang w:val="en-US" w:eastAsia="zh-CN"/>
        </w:rPr>
        <w:t>0</w:t>
      </w:r>
      <w:r>
        <w:rPr>
          <w:rFonts w:hint="default" w:ascii="Times New Roman" w:hAnsi="Times New Roman" w:eastAsia="仿宋_GB2312" w:cs="Times New Roman"/>
          <w:kern w:val="0"/>
          <w:sz w:val="32"/>
          <w:szCs w:val="32"/>
        </w:rPr>
        <w:t>辆；单价100万元（含）以上的设备（不含车辆）</w:t>
      </w:r>
      <w:r>
        <w:rPr>
          <w:rFonts w:hint="eastAsia" w:eastAsia="仿宋_GB2312" w:cs="Times New Roman"/>
          <w:kern w:val="0"/>
          <w:sz w:val="32"/>
          <w:szCs w:val="32"/>
          <w:lang w:val="en-US" w:eastAsia="zh-CN"/>
        </w:rPr>
        <w:t>0</w:t>
      </w:r>
      <w:r>
        <w:rPr>
          <w:rFonts w:hint="default" w:ascii="Times New Roman" w:hAnsi="Times New Roman" w:eastAsia="仿宋_GB2312" w:cs="Times New Roman"/>
          <w:kern w:val="0"/>
          <w:sz w:val="32"/>
          <w:szCs w:val="32"/>
        </w:rPr>
        <w:t>台（套）。</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200" w:firstLine="320" w:firstLineChars="100"/>
        <w:jc w:val="both"/>
        <w:textAlignment w:val="auto"/>
        <w:rPr>
          <w:rFonts w:hint="default"/>
        </w:rPr>
      </w:pPr>
      <w:r>
        <w:rPr>
          <w:rFonts w:hint="eastAsia" w:ascii="黑体" w:hAnsi="黑体" w:eastAsia="黑体" w:cs="黑体"/>
          <w:b w:val="0"/>
          <w:bCs w:val="0"/>
          <w:kern w:val="0"/>
          <w:sz w:val="32"/>
          <w:szCs w:val="32"/>
          <w:lang w:val="en-US" w:eastAsia="zh-CN"/>
        </w:rPr>
        <w:t>十四、</w:t>
      </w:r>
      <w:r>
        <w:rPr>
          <w:rFonts w:hint="default" w:ascii="黑体" w:hAnsi="黑体" w:eastAsia="黑体" w:cs="黑体"/>
          <w:b w:val="0"/>
          <w:bCs w:val="0"/>
          <w:kern w:val="0"/>
          <w:sz w:val="32"/>
          <w:szCs w:val="32"/>
        </w:rPr>
        <w:t>预算绩效情况说明</w:t>
      </w:r>
    </w:p>
    <w:p>
      <w:pPr>
        <w:keepNext w:val="0"/>
        <w:keepLines w:val="0"/>
        <w:pageBreakBefore w:val="0"/>
        <w:widowControl w:val="0"/>
        <w:kinsoku/>
        <w:wordWrap/>
        <w:overflowPunct/>
        <w:topLinePunct w:val="0"/>
        <w:autoSpaceDE/>
        <w:autoSpaceDN/>
        <w:bidi w:val="0"/>
        <w:adjustRightInd/>
        <w:snapToGrid/>
        <w:spacing w:beforeAutospacing="0" w:afterAutospacing="0" w:line="560" w:lineRule="exact"/>
        <w:ind w:firstLine="643" w:firstLineChars="200"/>
        <w:jc w:val="both"/>
        <w:textAlignment w:val="auto"/>
        <w:rPr>
          <w:rFonts w:hint="eastAsia" w:ascii="楷体_GB2312" w:hAnsi="楷体_GB2312" w:eastAsia="楷体_GB2312" w:cs="楷体_GB2312"/>
          <w:b/>
          <w:bCs/>
          <w:kern w:val="0"/>
          <w:sz w:val="32"/>
          <w:szCs w:val="32"/>
          <w:lang w:eastAsia="zh-CN"/>
        </w:rPr>
      </w:pPr>
      <w:r>
        <w:rPr>
          <w:rFonts w:hint="default" w:ascii="楷体_GB2312" w:hAnsi="楷体_GB2312" w:eastAsia="楷体_GB2312" w:cs="楷体_GB2312"/>
          <w:b/>
          <w:bCs/>
          <w:kern w:val="0"/>
          <w:sz w:val="32"/>
          <w:szCs w:val="32"/>
        </w:rPr>
        <w:t>（一）预算绩效管理工作开展情况</w:t>
      </w:r>
      <w:r>
        <w:rPr>
          <w:rFonts w:hint="eastAsia" w:ascii="楷体_GB2312" w:hAnsi="楷体_GB2312" w:eastAsia="楷体_GB2312" w:cs="楷体_GB2312"/>
          <w:b/>
          <w:bCs/>
          <w:kern w:val="0"/>
          <w:sz w:val="32"/>
          <w:szCs w:val="32"/>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Times New Roman" w:hAnsi="Times New Roman" w:eastAsia="仿宋_GB2312" w:cs="Times New Roman"/>
          <w:kern w:val="0"/>
          <w:sz w:val="32"/>
          <w:szCs w:val="32"/>
        </w:rPr>
      </w:pPr>
      <w:r>
        <w:rPr>
          <w:rFonts w:hint="eastAsia" w:ascii="Times New Roman" w:hAnsi="Times New Roman" w:eastAsia="仿宋_GB2312" w:cs="Times New Roman"/>
          <w:kern w:val="0"/>
          <w:sz w:val="32"/>
          <w:szCs w:val="32"/>
        </w:rPr>
        <w:t>内蒙古大兴安岭森林公安局</w:t>
      </w:r>
      <w:r>
        <w:rPr>
          <w:rFonts w:hint="eastAsia" w:ascii="Times New Roman" w:hAnsi="Times New Roman" w:eastAsia="仿宋_GB2312" w:cs="Times New Roman"/>
          <w:kern w:val="0"/>
          <w:sz w:val="32"/>
          <w:szCs w:val="32"/>
          <w:lang w:eastAsia="zh-CN"/>
        </w:rPr>
        <w:t>莫尔道嘎分局</w:t>
      </w:r>
      <w:r>
        <w:rPr>
          <w:rFonts w:hint="eastAsia" w:ascii="Times New Roman" w:hAnsi="Times New Roman" w:eastAsia="仿宋_GB2312" w:cs="Times New Roman"/>
          <w:kern w:val="0"/>
          <w:sz w:val="32"/>
          <w:szCs w:val="32"/>
        </w:rPr>
        <w:t>根据预算绩效管理要求组织对202</w:t>
      </w:r>
      <w:r>
        <w:rPr>
          <w:rFonts w:hint="eastAsia" w:ascii="Times New Roman" w:hAnsi="Times New Roman" w:eastAsia="仿宋_GB2312" w:cs="Times New Roman"/>
          <w:kern w:val="0"/>
          <w:sz w:val="32"/>
          <w:szCs w:val="32"/>
          <w:lang w:val="en-US" w:eastAsia="zh-CN"/>
        </w:rPr>
        <w:t>5</w:t>
      </w:r>
      <w:r>
        <w:rPr>
          <w:rFonts w:hint="eastAsia" w:ascii="Times New Roman" w:hAnsi="Times New Roman" w:eastAsia="仿宋_GB2312" w:cs="Times New Roman"/>
          <w:kern w:val="0"/>
          <w:sz w:val="32"/>
          <w:szCs w:val="32"/>
        </w:rPr>
        <w:t>年一般公共预算非涉密项目支出全面开展绩效自评，其中一级项目0个，二级项目2个，共涉及资金</w:t>
      </w:r>
      <w:r>
        <w:rPr>
          <w:rFonts w:hint="eastAsia" w:ascii="Times New Roman" w:hAnsi="Times New Roman" w:eastAsia="仿宋_GB2312" w:cs="Times New Roman"/>
          <w:kern w:val="0"/>
          <w:sz w:val="32"/>
          <w:szCs w:val="32"/>
          <w:lang w:val="en-US" w:eastAsia="zh-CN"/>
        </w:rPr>
        <w:t>45</w:t>
      </w:r>
      <w:r>
        <w:rPr>
          <w:rFonts w:hint="eastAsia" w:ascii="Times New Roman" w:hAnsi="Times New Roman" w:eastAsia="仿宋_GB2312" w:cs="Times New Roman"/>
          <w:kern w:val="0"/>
          <w:sz w:val="32"/>
          <w:szCs w:val="32"/>
        </w:rPr>
        <w:t>.00万元，占一般公共预算非涉密项目支出总额的100%；</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Times New Roman" w:hAnsi="Times New Roman" w:eastAsia="仿宋_GB2312" w:cs="Times New Roman"/>
          <w:kern w:val="0"/>
          <w:sz w:val="32"/>
          <w:szCs w:val="32"/>
        </w:rPr>
      </w:pPr>
      <w:r>
        <w:rPr>
          <w:rFonts w:hint="eastAsia" w:eastAsia="仿宋_GB2312" w:cs="Times New Roman"/>
          <w:kern w:val="0"/>
          <w:sz w:val="32"/>
          <w:szCs w:val="32"/>
          <w:lang w:eastAsia="zh-CN"/>
        </w:rPr>
        <w:t>内蒙古大兴安岭森林公安局莫尔道嘎分局</w:t>
      </w:r>
      <w:r>
        <w:rPr>
          <w:rFonts w:hint="eastAsia" w:ascii="Times New Roman" w:hAnsi="Times New Roman" w:eastAsia="仿宋_GB2312" w:cs="Times New Roman"/>
          <w:kern w:val="0"/>
          <w:sz w:val="32"/>
          <w:szCs w:val="32"/>
        </w:rPr>
        <w:t>对“办案（业务）经费项目”、“公安专用装备购置与设施购建项目”等2个项目开展了项目自评，涉及一般公共预算支出4</w:t>
      </w:r>
      <w:r>
        <w:rPr>
          <w:rFonts w:hint="eastAsia" w:eastAsia="仿宋_GB2312" w:cs="Times New Roman"/>
          <w:kern w:val="0"/>
          <w:sz w:val="32"/>
          <w:szCs w:val="32"/>
          <w:lang w:val="en-US" w:eastAsia="zh-CN"/>
        </w:rPr>
        <w:t>5.00</w:t>
      </w:r>
      <w:r>
        <w:rPr>
          <w:rFonts w:hint="eastAsia" w:ascii="Times New Roman" w:hAnsi="Times New Roman" w:eastAsia="仿宋_GB2312" w:cs="Times New Roman"/>
          <w:kern w:val="0"/>
          <w:sz w:val="32"/>
          <w:szCs w:val="32"/>
        </w:rPr>
        <w:t>万元，无其他类资金项目。其中，对“办案（业务）经费项目”、“公安专用装备购置与设施购建项目”分别开展绩效自评。从评价情况看，以上项目的实施，使公安工作有序开展，基础保障条件得到改善，装备物资得到有力保障，经费对公安工作支撑力强，深层次支持了公安业务决策和科技发展。</w:t>
      </w:r>
    </w:p>
    <w:p>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both"/>
        <w:textAlignment w:val="auto"/>
        <w:rPr>
          <w:rFonts w:hint="eastAsia" w:ascii="Times New Roman" w:hAnsi="Times New Roman" w:eastAsia="楷体_GB2312" w:cs="Times New Roman"/>
          <w:kern w:val="0"/>
          <w:sz w:val="32"/>
          <w:szCs w:val="32"/>
          <w:lang w:val="en-US" w:eastAsia="zh-CN"/>
        </w:rPr>
      </w:pPr>
      <w:r>
        <w:rPr>
          <w:rFonts w:hint="default" w:ascii="楷体_GB2312" w:hAnsi="楷体_GB2312" w:eastAsia="楷体_GB2312" w:cs="楷体_GB2312"/>
          <w:b/>
          <w:bCs/>
          <w:kern w:val="0"/>
          <w:sz w:val="32"/>
          <w:szCs w:val="32"/>
        </w:rPr>
        <w:t>（</w:t>
      </w:r>
      <w:r>
        <w:rPr>
          <w:rFonts w:hint="eastAsia" w:ascii="楷体_GB2312" w:hAnsi="楷体_GB2312" w:eastAsia="楷体_GB2312" w:cs="楷体_GB2312"/>
          <w:b/>
          <w:bCs/>
          <w:kern w:val="0"/>
          <w:sz w:val="32"/>
          <w:szCs w:val="32"/>
          <w:lang w:eastAsia="zh-CN"/>
        </w:rPr>
        <w:t>二</w:t>
      </w:r>
      <w:r>
        <w:rPr>
          <w:rFonts w:hint="default" w:ascii="楷体_GB2312" w:hAnsi="楷体_GB2312" w:eastAsia="楷体_GB2312" w:cs="楷体_GB2312"/>
          <w:b/>
          <w:bCs/>
          <w:kern w:val="0"/>
          <w:sz w:val="32"/>
          <w:szCs w:val="32"/>
        </w:rPr>
        <w:t>）</w:t>
      </w:r>
      <w:r>
        <w:rPr>
          <w:rFonts w:hint="eastAsia" w:ascii="楷体_GB2312" w:hAnsi="楷体_GB2312" w:eastAsia="楷体_GB2312" w:cs="楷体_GB2312"/>
          <w:b/>
          <w:bCs/>
          <w:kern w:val="0"/>
          <w:sz w:val="32"/>
          <w:szCs w:val="32"/>
          <w:lang w:eastAsia="zh-CN"/>
        </w:rPr>
        <w:t>单位决算中项目绩效自评结果。</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Times New Roman" w:hAnsi="Times New Roman" w:eastAsia="仿宋_GB2312" w:cs="Times New Roman"/>
          <w:kern w:val="0"/>
          <w:sz w:val="32"/>
          <w:szCs w:val="32"/>
          <w:lang w:val="en-US" w:eastAsia="zh-CN"/>
        </w:rPr>
      </w:pPr>
      <w:r>
        <w:rPr>
          <w:rFonts w:hint="eastAsia" w:ascii="Times New Roman" w:hAnsi="Times New Roman" w:eastAsia="仿宋_GB2312" w:cs="Times New Roman"/>
          <w:kern w:val="0"/>
          <w:sz w:val="32"/>
          <w:szCs w:val="32"/>
          <w:lang w:val="en-US" w:eastAsia="zh-CN" w:bidi="ar-SA"/>
        </w:rPr>
        <w:t>内蒙古大兴安岭森林公安局</w:t>
      </w:r>
      <w:r>
        <w:rPr>
          <w:rFonts w:hint="eastAsia" w:eastAsia="仿宋_GB2312" w:cs="Times New Roman"/>
          <w:kern w:val="0"/>
          <w:sz w:val="32"/>
          <w:szCs w:val="32"/>
          <w:lang w:val="en-US" w:eastAsia="zh-CN" w:bidi="ar-SA"/>
        </w:rPr>
        <w:t>莫尔道嘎分局</w:t>
      </w:r>
      <w:r>
        <w:rPr>
          <w:rFonts w:hint="eastAsia" w:ascii="Times New Roman" w:hAnsi="Times New Roman" w:eastAsia="仿宋_GB2312" w:cs="Times New Roman"/>
          <w:kern w:val="0"/>
          <w:sz w:val="32"/>
          <w:szCs w:val="32"/>
          <w:lang w:val="en-US" w:eastAsia="zh-CN" w:bidi="ar-SA"/>
        </w:rPr>
        <w:t>202</w:t>
      </w:r>
      <w:r>
        <w:rPr>
          <w:rFonts w:hint="eastAsia" w:eastAsia="仿宋_GB2312" w:cs="Times New Roman"/>
          <w:kern w:val="0"/>
          <w:sz w:val="32"/>
          <w:szCs w:val="32"/>
          <w:lang w:val="en-US" w:eastAsia="zh-CN" w:bidi="ar-SA"/>
        </w:rPr>
        <w:t>5</w:t>
      </w:r>
      <w:r>
        <w:rPr>
          <w:rFonts w:hint="eastAsia" w:ascii="Times New Roman" w:hAnsi="Times New Roman" w:eastAsia="仿宋_GB2312" w:cs="Times New Roman"/>
          <w:kern w:val="0"/>
          <w:sz w:val="32"/>
          <w:szCs w:val="32"/>
          <w:lang w:val="en-US" w:eastAsia="zh-CN" w:bidi="ar-SA"/>
        </w:rPr>
        <w:t>年度在决算中反映</w:t>
      </w:r>
      <w:r>
        <w:rPr>
          <w:rFonts w:hint="default" w:ascii="Times New Roman" w:hAnsi="Times New Roman" w:eastAsia="仿宋_GB2312" w:cs="Times New Roman"/>
          <w:kern w:val="0"/>
          <w:sz w:val="32"/>
          <w:szCs w:val="32"/>
          <w:lang w:val="en-US" w:eastAsia="zh-CN" w:bidi="ar-SA"/>
        </w:rPr>
        <w:t>2</w:t>
      </w:r>
      <w:r>
        <w:rPr>
          <w:rFonts w:hint="eastAsia" w:ascii="Times New Roman" w:hAnsi="Times New Roman" w:eastAsia="仿宋_GB2312" w:cs="Times New Roman"/>
          <w:kern w:val="0"/>
          <w:sz w:val="32"/>
          <w:szCs w:val="32"/>
          <w:lang w:val="en-US" w:eastAsia="zh-CN"/>
        </w:rPr>
        <w:t>个一般公共预算非涉密项目的绩效自评结果。</w:t>
      </w:r>
    </w:p>
    <w:p>
      <w:pPr>
        <w:keepNext w:val="0"/>
        <w:keepLines w:val="0"/>
        <w:pageBreakBefore w:val="0"/>
        <w:widowControl w:val="0"/>
        <w:numPr>
          <w:numId w:val="0"/>
        </w:numPr>
        <w:kinsoku/>
        <w:wordWrap/>
        <w:overflowPunct/>
        <w:topLinePunct w:val="0"/>
        <w:autoSpaceDE/>
        <w:autoSpaceDN/>
        <w:bidi w:val="0"/>
        <w:adjustRightInd/>
        <w:snapToGrid/>
        <w:spacing w:line="560" w:lineRule="exact"/>
        <w:ind w:firstLine="640" w:firstLineChars="200"/>
        <w:jc w:val="both"/>
        <w:textAlignment w:val="auto"/>
        <w:rPr>
          <w:rFonts w:hint="eastAsia" w:ascii="Times New Roman" w:hAnsi="Times New Roman" w:eastAsia="仿宋_GB2312" w:cs="Times New Roman"/>
          <w:kern w:val="0"/>
          <w:sz w:val="32"/>
          <w:szCs w:val="32"/>
          <w:lang w:val="en-US" w:eastAsia="zh-CN" w:bidi="ar-SA"/>
        </w:rPr>
      </w:pPr>
      <w:r>
        <w:rPr>
          <w:rFonts w:hint="eastAsia" w:ascii="仿宋_GB2312" w:hAnsi="仿宋_GB2312" w:eastAsia="仿宋_GB2312" w:cs="仿宋_GB2312"/>
          <w:kern w:val="0"/>
          <w:sz w:val="32"/>
          <w:szCs w:val="32"/>
          <w:lang w:val="en-US" w:eastAsia="zh-CN" w:bidi="ar-SA"/>
        </w:rPr>
        <w:t>1.办</w:t>
      </w:r>
      <w:r>
        <w:rPr>
          <w:rFonts w:hint="eastAsia" w:ascii="Times New Roman" w:hAnsi="Times New Roman" w:eastAsia="仿宋_GB2312" w:cs="Times New Roman"/>
          <w:kern w:val="0"/>
          <w:sz w:val="32"/>
          <w:szCs w:val="32"/>
          <w:lang w:val="en-US" w:eastAsia="zh-CN" w:bidi="ar-SA"/>
        </w:rPr>
        <w:t>案（业务）经费项目自评综述：根据年初设定的绩效目标，项目自评得分100.00分。全年预算数为</w:t>
      </w:r>
      <w:r>
        <w:rPr>
          <w:rFonts w:hint="eastAsia" w:eastAsia="仿宋_GB2312" w:cs="Times New Roman"/>
          <w:kern w:val="0"/>
          <w:sz w:val="32"/>
          <w:szCs w:val="32"/>
          <w:lang w:val="en-US" w:eastAsia="zh-CN" w:bidi="ar-SA"/>
        </w:rPr>
        <w:t>23.00</w:t>
      </w:r>
      <w:r>
        <w:rPr>
          <w:rFonts w:hint="eastAsia" w:ascii="Times New Roman" w:hAnsi="Times New Roman" w:eastAsia="仿宋_GB2312" w:cs="Times New Roman"/>
          <w:kern w:val="0"/>
          <w:sz w:val="32"/>
          <w:szCs w:val="32"/>
          <w:lang w:val="en-US" w:eastAsia="zh-CN" w:bidi="ar-SA"/>
        </w:rPr>
        <w:t>万元，执行数为</w:t>
      </w:r>
      <w:r>
        <w:rPr>
          <w:rFonts w:hint="eastAsia" w:eastAsia="仿宋_GB2312" w:cs="Times New Roman"/>
          <w:kern w:val="0"/>
          <w:sz w:val="32"/>
          <w:szCs w:val="32"/>
          <w:lang w:val="en-US" w:eastAsia="zh-CN" w:bidi="ar-SA"/>
        </w:rPr>
        <w:t>23.00</w:t>
      </w:r>
      <w:r>
        <w:rPr>
          <w:rFonts w:hint="eastAsia" w:ascii="Times New Roman" w:hAnsi="Times New Roman" w:eastAsia="仿宋_GB2312" w:cs="Times New Roman"/>
          <w:kern w:val="0"/>
          <w:sz w:val="32"/>
          <w:szCs w:val="32"/>
          <w:lang w:val="en-US" w:eastAsia="zh-CN" w:bidi="ar-SA"/>
        </w:rPr>
        <w:t>万元，完成预算的100.00%。项目绩效目标完成情况：我单位严格执行资金管理办法，合理安排资金支出。加大森林公安执法力度，严厉打击乱砍滥伐、偷砍盗伐等破坏森林及野生动物资源等违法行为，加强森林防火，维护了社会稳定，确保森林及野生动物资源安全。</w:t>
      </w:r>
    </w:p>
    <w:p>
      <w:pPr>
        <w:keepNext w:val="0"/>
        <w:keepLines w:val="0"/>
        <w:pageBreakBefore w:val="0"/>
        <w:widowControl w:val="0"/>
        <w:numPr>
          <w:numId w:val="0"/>
        </w:numPr>
        <w:kinsoku/>
        <w:wordWrap/>
        <w:overflowPunct/>
        <w:topLinePunct w:val="0"/>
        <w:autoSpaceDE/>
        <w:autoSpaceDN/>
        <w:bidi w:val="0"/>
        <w:adjustRightInd/>
        <w:snapToGrid/>
        <w:spacing w:line="560" w:lineRule="exact"/>
        <w:ind w:firstLine="640" w:firstLineChars="200"/>
        <w:textAlignment w:val="auto"/>
        <w:rPr>
          <w:rFonts w:hint="eastAsia" w:ascii="Times New Roman" w:hAnsi="Times New Roman" w:eastAsia="仿宋_GB2312" w:cs="Times New Roman"/>
          <w:kern w:val="0"/>
          <w:sz w:val="32"/>
          <w:szCs w:val="32"/>
          <w:lang w:val="en-US" w:eastAsia="zh-CN" w:bidi="ar-SA"/>
        </w:rPr>
      </w:pPr>
      <w:r>
        <w:rPr>
          <w:rFonts w:hint="eastAsia" w:ascii="仿宋_GB2312" w:hAnsi="仿宋_GB2312" w:eastAsia="仿宋_GB2312" w:cs="仿宋_GB2312"/>
          <w:b w:val="0"/>
          <w:bCs w:val="0"/>
          <w:i w:val="0"/>
          <w:iCs w:val="0"/>
          <w:caps w:val="0"/>
          <w:color w:val="000000" w:themeColor="text1"/>
          <w:spacing w:val="0"/>
          <w:sz w:val="32"/>
          <w:szCs w:val="32"/>
          <w:shd w:val="clear" w:fill="FFFFFF"/>
          <w:lang w:val="en-US" w:eastAsia="zh-CN"/>
          <w14:textFill>
            <w14:solidFill>
              <w14:schemeClr w14:val="tx1"/>
            </w14:solidFill>
          </w14:textFill>
        </w:rPr>
        <w:t>2.</w:t>
      </w:r>
      <w:r>
        <w:rPr>
          <w:rFonts w:hint="eastAsia" w:ascii="仿宋_GB2312" w:hAnsi="仿宋_GB2312" w:eastAsia="仿宋_GB2312" w:cs="仿宋_GB2312"/>
          <w:b w:val="0"/>
          <w:bCs w:val="0"/>
          <w:i w:val="0"/>
          <w:iCs w:val="0"/>
          <w:caps w:val="0"/>
          <w:color w:val="000000" w:themeColor="text1"/>
          <w:spacing w:val="0"/>
          <w:sz w:val="32"/>
          <w:szCs w:val="32"/>
          <w:shd w:val="clear" w:fill="FFFFFF"/>
          <w14:textFill>
            <w14:solidFill>
              <w14:schemeClr w14:val="tx1"/>
            </w14:solidFill>
          </w14:textFill>
        </w:rPr>
        <w:t>公安专用装备购置与设施购建项目自评综述：根据年初设定的绩效目</w:t>
      </w:r>
      <w:r>
        <w:rPr>
          <w:rFonts w:hint="eastAsia" w:eastAsia="仿宋_GB2312" w:cs="Times New Roman"/>
          <w:kern w:val="0"/>
          <w:sz w:val="32"/>
          <w:szCs w:val="32"/>
          <w:lang w:val="en-US" w:eastAsia="zh-CN" w:bidi="ar-SA"/>
        </w:rPr>
        <w:t>标，项目自评得分100分。全年预算数为22.00万元，执行数为22.00万元，完成预算的100.00%。项目绩效目标完成情况：按工作需要购置了森林公安专用设备，加强了对野生动植物资源的保护力度，打击犯罪维护林区社会稳定。森林公安执法办案水平稳步提高，森林公安装备水平逐步加强，人民群众满意度持续增高。截至2025年</w:t>
      </w:r>
      <w:r>
        <w:rPr>
          <w:rFonts w:hint="eastAsia" w:ascii="仿宋_GB2312" w:hAnsi="仿宋_GB2312" w:eastAsia="仿宋_GB2312" w:cs="仿宋_GB2312"/>
          <w:b w:val="0"/>
          <w:bCs w:val="0"/>
          <w:i w:val="0"/>
          <w:iCs w:val="0"/>
          <w:caps w:val="0"/>
          <w:color w:val="000000" w:themeColor="text1"/>
          <w:spacing w:val="0"/>
          <w:sz w:val="32"/>
          <w:szCs w:val="32"/>
          <w:shd w:val="clear" w:fill="FFFFFF"/>
          <w14:textFill>
            <w14:solidFill>
              <w14:schemeClr w14:val="tx1"/>
            </w14:solidFill>
          </w14:textFill>
        </w:rPr>
        <w:t>末，公安专用装备与设施购建项目已完成年度目标和所有绩效指标</w:t>
      </w:r>
      <w:r>
        <w:rPr>
          <w:rFonts w:hint="eastAsia" w:ascii="仿宋_GB2312" w:hAnsi="仿宋_GB2312" w:eastAsia="仿宋_GB2312" w:cs="仿宋_GB2312"/>
          <w:b w:val="0"/>
          <w:bCs w:val="0"/>
          <w:i w:val="0"/>
          <w:iCs w:val="0"/>
          <w:caps w:val="0"/>
          <w:color w:val="000000" w:themeColor="text1"/>
          <w:spacing w:val="0"/>
          <w:sz w:val="32"/>
          <w:szCs w:val="32"/>
          <w:shd w:val="clear" w:fill="FFFFFF"/>
          <w:lang w:eastAsia="zh-CN"/>
          <w14:textFill>
            <w14:solidFill>
              <w14:schemeClr w14:val="tx1"/>
            </w14:solidFill>
          </w14:textFill>
        </w:rPr>
        <w:t>。</w:t>
      </w:r>
    </w:p>
    <w:tbl>
      <w:tblPr>
        <w:tblStyle w:val="22"/>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39"/>
        <w:gridCol w:w="742"/>
        <w:gridCol w:w="739"/>
        <w:gridCol w:w="684"/>
        <w:gridCol w:w="684"/>
        <w:gridCol w:w="687"/>
        <w:gridCol w:w="686"/>
        <w:gridCol w:w="684"/>
        <w:gridCol w:w="687"/>
        <w:gridCol w:w="684"/>
        <w:gridCol w:w="757"/>
        <w:gridCol w:w="74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60" w:hRule="atLeast"/>
        </w:trPr>
        <w:tc>
          <w:tcPr>
            <w:tcW w:w="5000" w:type="pct"/>
            <w:gridSpan w:val="1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40"/>
                <w:szCs w:val="40"/>
                <w:u w:val="none"/>
              </w:rPr>
            </w:pPr>
            <w:r>
              <w:rPr>
                <w:rFonts w:hint="eastAsia" w:ascii="宋体" w:hAnsi="宋体" w:eastAsia="宋体" w:cs="宋体"/>
                <w:b/>
                <w:bCs/>
                <w:i w:val="0"/>
                <w:iCs w:val="0"/>
                <w:color w:val="000000"/>
                <w:kern w:val="0"/>
                <w:sz w:val="40"/>
                <w:szCs w:val="40"/>
                <w:u w:val="none"/>
                <w:lang w:val="en-US" w:eastAsia="zh-CN" w:bidi="ar"/>
              </w:rPr>
              <w:t>项目支出绩效自评表</w:t>
            </w:r>
            <w:r>
              <w:rPr>
                <w:rFonts w:hint="eastAsia" w:ascii="宋体" w:hAnsi="宋体" w:eastAsia="宋体" w:cs="宋体"/>
                <w:b/>
                <w:bCs/>
                <w:i w:val="0"/>
                <w:iCs w:val="0"/>
                <w:color w:val="000000"/>
                <w:kern w:val="0"/>
                <w:sz w:val="40"/>
                <w:szCs w:val="40"/>
                <w:u w:val="none"/>
                <w:lang w:val="en-US" w:eastAsia="zh-CN" w:bidi="ar"/>
              </w:rPr>
              <w:br w:type="textWrapping"/>
            </w:r>
            <w:r>
              <w:rPr>
                <w:rFonts w:hint="eastAsia" w:ascii="宋体" w:hAnsi="宋体" w:eastAsia="宋体" w:cs="宋体"/>
                <w:b/>
                <w:bCs/>
                <w:i w:val="0"/>
                <w:iCs w:val="0"/>
                <w:color w:val="000000"/>
                <w:kern w:val="0"/>
                <w:sz w:val="40"/>
                <w:szCs w:val="40"/>
                <w:u w:val="none"/>
                <w:lang w:val="en-US" w:eastAsia="zh-CN" w:bidi="ar"/>
              </w:rPr>
              <w:t>(2025年度）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trPr>
        <w:tc>
          <w:tcPr>
            <w:tcW w:w="874"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项目名称</w:t>
            </w:r>
          </w:p>
        </w:tc>
        <w:tc>
          <w:tcPr>
            <w:tcW w:w="4125"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办案（业务）经费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trPr>
        <w:tc>
          <w:tcPr>
            <w:tcW w:w="874"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主管部门</w:t>
            </w:r>
          </w:p>
        </w:tc>
        <w:tc>
          <w:tcPr>
            <w:tcW w:w="165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内蒙古自治区公安厅部门</w:t>
            </w:r>
          </w:p>
        </w:tc>
        <w:tc>
          <w:tcPr>
            <w:tcW w:w="80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实施单位</w:t>
            </w:r>
          </w:p>
        </w:tc>
        <w:tc>
          <w:tcPr>
            <w:tcW w:w="166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内蒙古大兴安岭森林公安局莫尔道嘎分局</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trPr>
        <w:tc>
          <w:tcPr>
            <w:tcW w:w="874"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项目资金</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（万元）</w:t>
            </w:r>
          </w:p>
        </w:tc>
        <w:tc>
          <w:tcPr>
            <w:tcW w:w="436" w:type="pct"/>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iCs w:val="0"/>
                <w:color w:val="000000"/>
                <w:sz w:val="18"/>
                <w:szCs w:val="18"/>
                <w:u w:val="none"/>
              </w:rPr>
            </w:pPr>
          </w:p>
        </w:tc>
        <w:tc>
          <w:tcPr>
            <w:tcW w:w="40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年初预算数</w:t>
            </w:r>
          </w:p>
        </w:tc>
        <w:tc>
          <w:tcPr>
            <w:tcW w:w="809"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全年预算数</w:t>
            </w:r>
          </w:p>
        </w:tc>
        <w:tc>
          <w:tcPr>
            <w:tcW w:w="80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全年执行数</w:t>
            </w:r>
          </w:p>
        </w:tc>
        <w:tc>
          <w:tcPr>
            <w:tcW w:w="40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分值</w:t>
            </w:r>
          </w:p>
        </w:tc>
        <w:tc>
          <w:tcPr>
            <w:tcW w:w="82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执行率（%）</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得分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trPr>
        <w:tc>
          <w:tcPr>
            <w:tcW w:w="874"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年度资金总额</w:t>
            </w:r>
          </w:p>
        </w:tc>
        <w:tc>
          <w:tcPr>
            <w:tcW w:w="40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w:t>
            </w:r>
          </w:p>
        </w:tc>
        <w:tc>
          <w:tcPr>
            <w:tcW w:w="809"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23</w:t>
            </w:r>
          </w:p>
        </w:tc>
        <w:tc>
          <w:tcPr>
            <w:tcW w:w="80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23</w:t>
            </w:r>
          </w:p>
        </w:tc>
        <w:tc>
          <w:tcPr>
            <w:tcW w:w="40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82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100</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trPr>
        <w:tc>
          <w:tcPr>
            <w:tcW w:w="874"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其中：财政拨款</w:t>
            </w:r>
          </w:p>
        </w:tc>
        <w:tc>
          <w:tcPr>
            <w:tcW w:w="40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w:t>
            </w:r>
          </w:p>
        </w:tc>
        <w:tc>
          <w:tcPr>
            <w:tcW w:w="809"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23</w:t>
            </w:r>
          </w:p>
        </w:tc>
        <w:tc>
          <w:tcPr>
            <w:tcW w:w="80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23</w:t>
            </w:r>
          </w:p>
        </w:tc>
        <w:tc>
          <w:tcPr>
            <w:tcW w:w="4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ascii="Arial" w:hAnsi="Arial" w:eastAsia="宋体" w:cs="Arial"/>
                <w:i w:val="0"/>
                <w:iCs w:val="0"/>
                <w:color w:val="222222"/>
                <w:sz w:val="19"/>
                <w:szCs w:val="19"/>
                <w:u w:val="none"/>
              </w:rPr>
            </w:pPr>
            <w:r>
              <w:rPr>
                <w:rFonts w:hint="default" w:ascii="Arial" w:hAnsi="Arial" w:eastAsia="宋体" w:cs="Arial"/>
                <w:i w:val="0"/>
                <w:iCs w:val="0"/>
                <w:color w:val="222222"/>
                <w:kern w:val="0"/>
                <w:sz w:val="19"/>
                <w:szCs w:val="19"/>
                <w:u w:val="none"/>
                <w:lang w:val="en-US" w:eastAsia="zh-CN" w:bidi="ar"/>
              </w:rPr>
              <w:t>——</w:t>
            </w:r>
          </w:p>
        </w:tc>
        <w:tc>
          <w:tcPr>
            <w:tcW w:w="82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100</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Arial" w:hAnsi="Arial" w:eastAsia="宋体" w:cs="Arial"/>
                <w:i w:val="0"/>
                <w:iCs w:val="0"/>
                <w:color w:val="222222"/>
                <w:sz w:val="19"/>
                <w:szCs w:val="19"/>
                <w:u w:val="none"/>
              </w:rPr>
            </w:pPr>
            <w:r>
              <w:rPr>
                <w:rFonts w:hint="default" w:ascii="Arial" w:hAnsi="Arial" w:eastAsia="宋体" w:cs="Arial"/>
                <w:i w:val="0"/>
                <w:iCs w:val="0"/>
                <w:color w:val="222222"/>
                <w:kern w:val="0"/>
                <w:sz w:val="19"/>
                <w:szCs w:val="19"/>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380" w:hRule="atLeast"/>
        </w:trPr>
        <w:tc>
          <w:tcPr>
            <w:tcW w:w="874"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上年结转资金</w:t>
            </w:r>
          </w:p>
        </w:tc>
        <w:tc>
          <w:tcPr>
            <w:tcW w:w="404" w:type="pct"/>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iCs w:val="0"/>
                <w:color w:val="000000"/>
                <w:sz w:val="18"/>
                <w:szCs w:val="18"/>
                <w:u w:val="none"/>
              </w:rPr>
            </w:pPr>
          </w:p>
        </w:tc>
        <w:tc>
          <w:tcPr>
            <w:tcW w:w="809"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80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Arial" w:hAnsi="Arial" w:eastAsia="宋体" w:cs="Arial"/>
                <w:i w:val="0"/>
                <w:iCs w:val="0"/>
                <w:color w:val="222222"/>
                <w:sz w:val="19"/>
                <w:szCs w:val="19"/>
                <w:u w:val="none"/>
              </w:rPr>
            </w:pPr>
            <w:r>
              <w:rPr>
                <w:rFonts w:hint="default" w:ascii="Arial" w:hAnsi="Arial" w:eastAsia="宋体" w:cs="Arial"/>
                <w:i w:val="0"/>
                <w:iCs w:val="0"/>
                <w:color w:val="222222"/>
                <w:kern w:val="0"/>
                <w:sz w:val="19"/>
                <w:szCs w:val="19"/>
                <w:u w:val="none"/>
                <w:lang w:val="en-US" w:eastAsia="zh-CN" w:bidi="ar"/>
              </w:rPr>
              <w:t>——</w:t>
            </w:r>
          </w:p>
        </w:tc>
        <w:tc>
          <w:tcPr>
            <w:tcW w:w="82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Arial" w:hAnsi="Arial" w:eastAsia="宋体" w:cs="Arial"/>
                <w:i w:val="0"/>
                <w:iCs w:val="0"/>
                <w:color w:val="222222"/>
                <w:sz w:val="19"/>
                <w:szCs w:val="19"/>
                <w:u w:val="none"/>
              </w:rPr>
            </w:pPr>
            <w:r>
              <w:rPr>
                <w:rFonts w:hint="default" w:ascii="Arial" w:hAnsi="Arial" w:eastAsia="宋体" w:cs="Arial"/>
                <w:i w:val="0"/>
                <w:iCs w:val="0"/>
                <w:color w:val="222222"/>
                <w:kern w:val="0"/>
                <w:sz w:val="19"/>
                <w:szCs w:val="19"/>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trPr>
        <w:tc>
          <w:tcPr>
            <w:tcW w:w="874"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其他资金</w:t>
            </w:r>
          </w:p>
        </w:tc>
        <w:tc>
          <w:tcPr>
            <w:tcW w:w="40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w:t>
            </w:r>
          </w:p>
        </w:tc>
        <w:tc>
          <w:tcPr>
            <w:tcW w:w="809"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w:t>
            </w:r>
          </w:p>
        </w:tc>
        <w:tc>
          <w:tcPr>
            <w:tcW w:w="80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w:t>
            </w:r>
          </w:p>
        </w:tc>
        <w:tc>
          <w:tcPr>
            <w:tcW w:w="4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Arial" w:hAnsi="Arial" w:eastAsia="宋体" w:cs="Arial"/>
                <w:i w:val="0"/>
                <w:iCs w:val="0"/>
                <w:color w:val="222222"/>
                <w:sz w:val="19"/>
                <w:szCs w:val="19"/>
                <w:u w:val="none"/>
              </w:rPr>
            </w:pPr>
            <w:r>
              <w:rPr>
                <w:rFonts w:hint="default" w:ascii="Arial" w:hAnsi="Arial" w:eastAsia="宋体" w:cs="Arial"/>
                <w:i w:val="0"/>
                <w:iCs w:val="0"/>
                <w:color w:val="222222"/>
                <w:kern w:val="0"/>
                <w:sz w:val="19"/>
                <w:szCs w:val="19"/>
                <w:u w:val="none"/>
                <w:lang w:val="en-US" w:eastAsia="zh-CN" w:bidi="ar"/>
              </w:rPr>
              <w:t>——</w:t>
            </w:r>
          </w:p>
        </w:tc>
        <w:tc>
          <w:tcPr>
            <w:tcW w:w="82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Arial" w:hAnsi="Arial" w:eastAsia="宋体" w:cs="Arial"/>
                <w:i w:val="0"/>
                <w:iCs w:val="0"/>
                <w:color w:val="222222"/>
                <w:sz w:val="19"/>
                <w:szCs w:val="19"/>
                <w:u w:val="none"/>
              </w:rPr>
            </w:pPr>
            <w:r>
              <w:rPr>
                <w:rFonts w:hint="default" w:ascii="Arial" w:hAnsi="Arial" w:eastAsia="宋体" w:cs="Arial"/>
                <w:i w:val="0"/>
                <w:iCs w:val="0"/>
                <w:color w:val="222222"/>
                <w:kern w:val="0"/>
                <w:sz w:val="19"/>
                <w:szCs w:val="19"/>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380" w:hRule="atLeast"/>
        </w:trPr>
        <w:tc>
          <w:tcPr>
            <w:tcW w:w="874"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年度总体目标</w:t>
            </w:r>
          </w:p>
        </w:tc>
        <w:tc>
          <w:tcPr>
            <w:tcW w:w="2055"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预期目标</w:t>
            </w:r>
          </w:p>
        </w:tc>
        <w:tc>
          <w:tcPr>
            <w:tcW w:w="207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实际完成情况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20" w:hRule="atLeast"/>
        </w:trPr>
        <w:tc>
          <w:tcPr>
            <w:tcW w:w="874"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055"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内蒙古大兴安岭森林公安局莫尔道嘎分局为提高森林公安整体办案业务水平，加大对涉林野生动植物案件的打击力度，维护社会治安稳定,提升执法规范化水平，健全社会治安防控体系，提升公安机关战斗力，推进公安工作现代化。</w:t>
            </w:r>
          </w:p>
        </w:tc>
        <w:tc>
          <w:tcPr>
            <w:tcW w:w="207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 xml:space="preserve"> 2025年度，办案（业务）经费项目预算绩效目标为：提高森林公安整体办案业务水平，加大对涉林野生动植物案件的打击力度，维护社会治安稳定。我单位及时开展警务技能培训大于等于6次，办案出差次数大于等于10次，警务技能培训合格率100％，案件破案率85%，办案差旅费用核销及时，办案业务费23.00万元，为社会公众服务能力有效提高，社会治安防控体系健全，办案人民满意度达到98%以上。</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trPr>
        <w:tc>
          <w:tcPr>
            <w:tcW w:w="43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绩效指标</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一级指标</w:t>
            </w:r>
          </w:p>
        </w:tc>
        <w:tc>
          <w:tcPr>
            <w:tcW w:w="43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二级指标</w:t>
            </w:r>
          </w:p>
        </w:tc>
        <w:tc>
          <w:tcPr>
            <w:tcW w:w="40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三级指标</w:t>
            </w:r>
          </w:p>
        </w:tc>
        <w:tc>
          <w:tcPr>
            <w:tcW w:w="40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指标性质</w:t>
            </w:r>
          </w:p>
        </w:tc>
        <w:tc>
          <w:tcPr>
            <w:tcW w:w="4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指标方向</w:t>
            </w:r>
          </w:p>
        </w:tc>
        <w:tc>
          <w:tcPr>
            <w:tcW w:w="40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年度指标值</w:t>
            </w:r>
          </w:p>
        </w:tc>
        <w:tc>
          <w:tcPr>
            <w:tcW w:w="40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实际完成值</w:t>
            </w:r>
          </w:p>
        </w:tc>
        <w:tc>
          <w:tcPr>
            <w:tcW w:w="40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计量单位</w:t>
            </w:r>
          </w:p>
        </w:tc>
        <w:tc>
          <w:tcPr>
            <w:tcW w:w="40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分值</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得分</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偏差原因分析及改进措施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36" w:type="pct"/>
            <w:vMerge w:val="restar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绩效指标</w:t>
            </w:r>
          </w:p>
        </w:tc>
        <w:tc>
          <w:tcPr>
            <w:tcW w:w="437" w:type="pct"/>
            <w:vMerge w:val="restar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产出指标</w:t>
            </w:r>
          </w:p>
        </w:tc>
        <w:tc>
          <w:tcPr>
            <w:tcW w:w="436" w:type="pct"/>
            <w:vMerge w:val="restar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数量指标</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开展警务技能培训次数</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正向</w:t>
            </w:r>
          </w:p>
        </w:tc>
        <w:tc>
          <w:tcPr>
            <w:tcW w:w="405"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大于等于</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6</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6</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次</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418"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438" w:type="pct"/>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36"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7"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6"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办案出差次数</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正向</w:t>
            </w:r>
          </w:p>
        </w:tc>
        <w:tc>
          <w:tcPr>
            <w:tcW w:w="405"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大于等于</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次</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418"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438" w:type="pct"/>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36"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7"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6" w:type="pct"/>
            <w:vMerge w:val="restar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质量指标</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警务技能培训合格率</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正向</w:t>
            </w:r>
          </w:p>
        </w:tc>
        <w:tc>
          <w:tcPr>
            <w:tcW w:w="405"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等于</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100</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100</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418"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438" w:type="pct"/>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36"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7"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6"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案件破案率</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正向</w:t>
            </w:r>
          </w:p>
        </w:tc>
        <w:tc>
          <w:tcPr>
            <w:tcW w:w="405"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大于等于</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85</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85</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418"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438" w:type="pct"/>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36"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7"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6" w:type="pct"/>
            <w:vMerge w:val="restar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时效指标</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警务技能培训开展时间</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反向</w:t>
            </w:r>
          </w:p>
        </w:tc>
        <w:tc>
          <w:tcPr>
            <w:tcW w:w="405"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小于等于</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30</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30</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日</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418"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438" w:type="pct"/>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36"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7"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6"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办案差旅费用核销完成时间</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反向</w:t>
            </w:r>
          </w:p>
        </w:tc>
        <w:tc>
          <w:tcPr>
            <w:tcW w:w="405"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小于等于</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30</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30</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日</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418"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438" w:type="pct"/>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36"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7"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6" w:type="pct"/>
            <w:vMerge w:val="restar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成本指标</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警务技能培训费用成本</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反向</w:t>
            </w:r>
          </w:p>
        </w:tc>
        <w:tc>
          <w:tcPr>
            <w:tcW w:w="405"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小于等于</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11</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11</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万元</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418"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438" w:type="pct"/>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36"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7"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6"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办案差旅费用成本</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反向</w:t>
            </w:r>
          </w:p>
        </w:tc>
        <w:tc>
          <w:tcPr>
            <w:tcW w:w="405"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小于等于</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12</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12</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万元</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418"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438" w:type="pct"/>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36"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7" w:type="pct"/>
            <w:vMerge w:val="restar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效益指标</w:t>
            </w:r>
          </w:p>
        </w:tc>
        <w:tc>
          <w:tcPr>
            <w:tcW w:w="436"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社会效益指标</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提高为社会公众服务的能力</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定性</w:t>
            </w:r>
          </w:p>
        </w:tc>
        <w:tc>
          <w:tcPr>
            <w:tcW w:w="405" w:type="pct"/>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有效提高</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有效提高</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418"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438" w:type="pct"/>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36"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7"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6"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生态效益指标</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增强对生态环境和野生动植物保护力度</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定性</w:t>
            </w:r>
          </w:p>
        </w:tc>
        <w:tc>
          <w:tcPr>
            <w:tcW w:w="405" w:type="pct"/>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有效增强</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有效增强</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418"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438" w:type="pct"/>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36"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7"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6"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可持续影响指标</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持续提升社会治安防控体系</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定性</w:t>
            </w:r>
          </w:p>
        </w:tc>
        <w:tc>
          <w:tcPr>
            <w:tcW w:w="405" w:type="pct"/>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持续提升</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持续提升</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418"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438" w:type="pct"/>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436"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7"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满意度指标</w:t>
            </w:r>
          </w:p>
        </w:tc>
        <w:tc>
          <w:tcPr>
            <w:tcW w:w="436"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服务对象满意度指标</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办案人民满意度</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正向</w:t>
            </w:r>
          </w:p>
        </w:tc>
        <w:tc>
          <w:tcPr>
            <w:tcW w:w="405"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大于等于</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98</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98</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418"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438" w:type="pct"/>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3737"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总分</w:t>
            </w:r>
          </w:p>
        </w:tc>
        <w:tc>
          <w:tcPr>
            <w:tcW w:w="40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100</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100.00</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bl>
    <w:p>
      <w:pPr>
        <w:keepNext w:val="0"/>
        <w:keepLines w:val="0"/>
        <w:pageBreakBefore w:val="0"/>
        <w:widowControl w:val="0"/>
        <w:numPr>
          <w:ilvl w:val="0"/>
          <w:numId w:val="0"/>
        </w:numPr>
        <w:kinsoku/>
        <w:wordWrap/>
        <w:overflowPunct/>
        <w:topLinePunct w:val="0"/>
        <w:autoSpaceDE/>
        <w:autoSpaceDN/>
        <w:bidi w:val="0"/>
        <w:adjustRightInd/>
        <w:snapToGrid/>
        <w:textAlignment w:val="auto"/>
        <w:rPr>
          <w:rFonts w:hint="eastAsia" w:ascii="仿宋_GB2312" w:hAnsi="仿宋_GB2312" w:eastAsia="仿宋_GB2312" w:cs="仿宋_GB2312"/>
          <w:b w:val="0"/>
          <w:bCs w:val="0"/>
          <w:i w:val="0"/>
          <w:iCs w:val="0"/>
          <w:caps w:val="0"/>
          <w:color w:val="000000" w:themeColor="text1"/>
          <w:spacing w:val="0"/>
          <w:sz w:val="32"/>
          <w:szCs w:val="32"/>
          <w:shd w:val="clear" w:fill="FFFFFF"/>
          <w:lang w:eastAsia="zh-CN"/>
          <w14:textFill>
            <w14:solidFill>
              <w14:schemeClr w14:val="tx1"/>
            </w14:solidFill>
          </w14:textFill>
        </w:rPr>
      </w:pPr>
      <w:r>
        <w:rPr>
          <w:rFonts w:hint="eastAsia" w:ascii="仿宋_GB2312" w:hAnsi="仿宋_GB2312" w:eastAsia="仿宋_GB2312" w:cs="仿宋_GB2312"/>
          <w:b w:val="0"/>
          <w:bCs w:val="0"/>
          <w:i w:val="0"/>
          <w:iCs w:val="0"/>
          <w:caps w:val="0"/>
          <w:color w:val="000000" w:themeColor="text1"/>
          <w:spacing w:val="0"/>
          <w:sz w:val="32"/>
          <w:szCs w:val="32"/>
          <w:shd w:val="clear" w:fill="FFFFFF"/>
          <w:lang w:val="en-US" w:eastAsia="zh-CN"/>
          <w14:textFill>
            <w14:solidFill>
              <w14:schemeClr w14:val="tx1"/>
            </w14:solidFill>
          </w14:textFill>
        </w:rPr>
        <w:t xml:space="preserve">  </w:t>
      </w:r>
    </w:p>
    <w:tbl>
      <w:tblPr>
        <w:tblStyle w:val="22"/>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39"/>
        <w:gridCol w:w="742"/>
        <w:gridCol w:w="739"/>
        <w:gridCol w:w="684"/>
        <w:gridCol w:w="684"/>
        <w:gridCol w:w="687"/>
        <w:gridCol w:w="686"/>
        <w:gridCol w:w="684"/>
        <w:gridCol w:w="687"/>
        <w:gridCol w:w="684"/>
        <w:gridCol w:w="757"/>
        <w:gridCol w:w="74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60" w:hRule="atLeast"/>
        </w:trPr>
        <w:tc>
          <w:tcPr>
            <w:tcW w:w="5000" w:type="pct"/>
            <w:gridSpan w:val="1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40"/>
                <w:szCs w:val="40"/>
                <w:u w:val="none"/>
              </w:rPr>
            </w:pPr>
            <w:r>
              <w:rPr>
                <w:rFonts w:hint="eastAsia" w:ascii="宋体" w:hAnsi="宋体" w:eastAsia="宋体" w:cs="宋体"/>
                <w:b/>
                <w:bCs/>
                <w:i w:val="0"/>
                <w:iCs w:val="0"/>
                <w:color w:val="000000"/>
                <w:kern w:val="0"/>
                <w:sz w:val="40"/>
                <w:szCs w:val="40"/>
                <w:u w:val="none"/>
                <w:lang w:val="en-US" w:eastAsia="zh-CN" w:bidi="ar"/>
              </w:rPr>
              <w:t>项目支出绩效自评表</w:t>
            </w:r>
            <w:r>
              <w:rPr>
                <w:rFonts w:hint="eastAsia" w:ascii="宋体" w:hAnsi="宋体" w:eastAsia="宋体" w:cs="宋体"/>
                <w:b/>
                <w:bCs/>
                <w:i w:val="0"/>
                <w:iCs w:val="0"/>
                <w:color w:val="000000"/>
                <w:kern w:val="0"/>
                <w:sz w:val="40"/>
                <w:szCs w:val="40"/>
                <w:u w:val="none"/>
                <w:lang w:val="en-US" w:eastAsia="zh-CN" w:bidi="ar"/>
              </w:rPr>
              <w:br w:type="textWrapping"/>
            </w:r>
            <w:r>
              <w:rPr>
                <w:rFonts w:hint="eastAsia" w:ascii="宋体" w:hAnsi="宋体" w:eastAsia="宋体" w:cs="宋体"/>
                <w:b/>
                <w:bCs/>
                <w:i w:val="0"/>
                <w:iCs w:val="0"/>
                <w:color w:val="000000"/>
                <w:kern w:val="0"/>
                <w:sz w:val="40"/>
                <w:szCs w:val="40"/>
                <w:u w:val="none"/>
                <w:lang w:val="en-US" w:eastAsia="zh-CN" w:bidi="ar"/>
              </w:rPr>
              <w:t>(2025年度）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trPr>
        <w:tc>
          <w:tcPr>
            <w:tcW w:w="874"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项目名称</w:t>
            </w:r>
          </w:p>
        </w:tc>
        <w:tc>
          <w:tcPr>
            <w:tcW w:w="4125"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公安专用装备购置与设施购建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trPr>
        <w:tc>
          <w:tcPr>
            <w:tcW w:w="874"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主管部门</w:t>
            </w:r>
          </w:p>
        </w:tc>
        <w:tc>
          <w:tcPr>
            <w:tcW w:w="165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内蒙古自治区公安厅部门</w:t>
            </w:r>
          </w:p>
        </w:tc>
        <w:tc>
          <w:tcPr>
            <w:tcW w:w="80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实施单位</w:t>
            </w:r>
          </w:p>
        </w:tc>
        <w:tc>
          <w:tcPr>
            <w:tcW w:w="166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内蒙古大兴安岭森林公安局莫尔道嘎分局</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trPr>
        <w:tc>
          <w:tcPr>
            <w:tcW w:w="874"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项目资金</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（万元）</w:t>
            </w:r>
          </w:p>
        </w:tc>
        <w:tc>
          <w:tcPr>
            <w:tcW w:w="436" w:type="pct"/>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iCs w:val="0"/>
                <w:color w:val="000000"/>
                <w:sz w:val="18"/>
                <w:szCs w:val="18"/>
                <w:u w:val="none"/>
              </w:rPr>
            </w:pPr>
          </w:p>
        </w:tc>
        <w:tc>
          <w:tcPr>
            <w:tcW w:w="40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年初预算数</w:t>
            </w:r>
          </w:p>
        </w:tc>
        <w:tc>
          <w:tcPr>
            <w:tcW w:w="809"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全年预算数</w:t>
            </w:r>
          </w:p>
        </w:tc>
        <w:tc>
          <w:tcPr>
            <w:tcW w:w="80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全年执行数</w:t>
            </w:r>
          </w:p>
        </w:tc>
        <w:tc>
          <w:tcPr>
            <w:tcW w:w="40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分值</w:t>
            </w:r>
          </w:p>
        </w:tc>
        <w:tc>
          <w:tcPr>
            <w:tcW w:w="82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执行率（%）</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得分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trPr>
        <w:tc>
          <w:tcPr>
            <w:tcW w:w="874"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年度资金总额</w:t>
            </w:r>
          </w:p>
        </w:tc>
        <w:tc>
          <w:tcPr>
            <w:tcW w:w="40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w:t>
            </w:r>
          </w:p>
        </w:tc>
        <w:tc>
          <w:tcPr>
            <w:tcW w:w="809"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22</w:t>
            </w:r>
          </w:p>
        </w:tc>
        <w:tc>
          <w:tcPr>
            <w:tcW w:w="80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22</w:t>
            </w:r>
          </w:p>
        </w:tc>
        <w:tc>
          <w:tcPr>
            <w:tcW w:w="40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82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100</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trPr>
        <w:tc>
          <w:tcPr>
            <w:tcW w:w="874"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其中：财政拨款</w:t>
            </w:r>
          </w:p>
        </w:tc>
        <w:tc>
          <w:tcPr>
            <w:tcW w:w="40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w:t>
            </w:r>
          </w:p>
        </w:tc>
        <w:tc>
          <w:tcPr>
            <w:tcW w:w="809"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22</w:t>
            </w:r>
          </w:p>
        </w:tc>
        <w:tc>
          <w:tcPr>
            <w:tcW w:w="80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22</w:t>
            </w:r>
          </w:p>
        </w:tc>
        <w:tc>
          <w:tcPr>
            <w:tcW w:w="4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ascii="Arial" w:hAnsi="Arial" w:eastAsia="宋体" w:cs="Arial"/>
                <w:i w:val="0"/>
                <w:iCs w:val="0"/>
                <w:color w:val="222222"/>
                <w:sz w:val="19"/>
                <w:szCs w:val="19"/>
                <w:u w:val="none"/>
              </w:rPr>
            </w:pPr>
            <w:r>
              <w:rPr>
                <w:rFonts w:hint="default" w:ascii="Arial" w:hAnsi="Arial" w:eastAsia="宋体" w:cs="Arial"/>
                <w:i w:val="0"/>
                <w:iCs w:val="0"/>
                <w:color w:val="222222"/>
                <w:kern w:val="0"/>
                <w:sz w:val="19"/>
                <w:szCs w:val="19"/>
                <w:u w:val="none"/>
                <w:lang w:val="en-US" w:eastAsia="zh-CN" w:bidi="ar"/>
              </w:rPr>
              <w:t>——</w:t>
            </w:r>
          </w:p>
        </w:tc>
        <w:tc>
          <w:tcPr>
            <w:tcW w:w="82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100</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Arial" w:hAnsi="Arial" w:eastAsia="宋体" w:cs="Arial"/>
                <w:i w:val="0"/>
                <w:iCs w:val="0"/>
                <w:color w:val="222222"/>
                <w:sz w:val="19"/>
                <w:szCs w:val="19"/>
                <w:u w:val="none"/>
              </w:rPr>
            </w:pPr>
            <w:r>
              <w:rPr>
                <w:rFonts w:hint="default" w:ascii="Arial" w:hAnsi="Arial" w:eastAsia="宋体" w:cs="Arial"/>
                <w:i w:val="0"/>
                <w:iCs w:val="0"/>
                <w:color w:val="222222"/>
                <w:kern w:val="0"/>
                <w:sz w:val="19"/>
                <w:szCs w:val="19"/>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trPr>
        <w:tc>
          <w:tcPr>
            <w:tcW w:w="874"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上年结转资金</w:t>
            </w:r>
          </w:p>
        </w:tc>
        <w:tc>
          <w:tcPr>
            <w:tcW w:w="404" w:type="pct"/>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iCs w:val="0"/>
                <w:color w:val="000000"/>
                <w:sz w:val="18"/>
                <w:szCs w:val="18"/>
                <w:u w:val="none"/>
              </w:rPr>
            </w:pPr>
          </w:p>
        </w:tc>
        <w:tc>
          <w:tcPr>
            <w:tcW w:w="809"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80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Arial" w:hAnsi="Arial" w:eastAsia="宋体" w:cs="Arial"/>
                <w:i w:val="0"/>
                <w:iCs w:val="0"/>
                <w:color w:val="222222"/>
                <w:sz w:val="19"/>
                <w:szCs w:val="19"/>
                <w:u w:val="none"/>
              </w:rPr>
            </w:pPr>
            <w:r>
              <w:rPr>
                <w:rFonts w:hint="default" w:ascii="Arial" w:hAnsi="Arial" w:eastAsia="宋体" w:cs="Arial"/>
                <w:i w:val="0"/>
                <w:iCs w:val="0"/>
                <w:color w:val="222222"/>
                <w:kern w:val="0"/>
                <w:sz w:val="19"/>
                <w:szCs w:val="19"/>
                <w:u w:val="none"/>
                <w:lang w:val="en-US" w:eastAsia="zh-CN" w:bidi="ar"/>
              </w:rPr>
              <w:t>——</w:t>
            </w:r>
          </w:p>
        </w:tc>
        <w:tc>
          <w:tcPr>
            <w:tcW w:w="82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Arial" w:hAnsi="Arial" w:eastAsia="宋体" w:cs="Arial"/>
                <w:i w:val="0"/>
                <w:iCs w:val="0"/>
                <w:color w:val="222222"/>
                <w:sz w:val="19"/>
                <w:szCs w:val="19"/>
                <w:u w:val="none"/>
              </w:rPr>
            </w:pPr>
            <w:r>
              <w:rPr>
                <w:rFonts w:hint="default" w:ascii="Arial" w:hAnsi="Arial" w:eastAsia="宋体" w:cs="Arial"/>
                <w:i w:val="0"/>
                <w:iCs w:val="0"/>
                <w:color w:val="222222"/>
                <w:kern w:val="0"/>
                <w:sz w:val="19"/>
                <w:szCs w:val="19"/>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trPr>
        <w:tc>
          <w:tcPr>
            <w:tcW w:w="874"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其他资金</w:t>
            </w:r>
          </w:p>
        </w:tc>
        <w:tc>
          <w:tcPr>
            <w:tcW w:w="40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w:t>
            </w:r>
          </w:p>
        </w:tc>
        <w:tc>
          <w:tcPr>
            <w:tcW w:w="809"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w:t>
            </w:r>
          </w:p>
        </w:tc>
        <w:tc>
          <w:tcPr>
            <w:tcW w:w="80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w:t>
            </w:r>
          </w:p>
        </w:tc>
        <w:tc>
          <w:tcPr>
            <w:tcW w:w="4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Arial" w:hAnsi="Arial" w:eastAsia="宋体" w:cs="Arial"/>
                <w:i w:val="0"/>
                <w:iCs w:val="0"/>
                <w:color w:val="222222"/>
                <w:sz w:val="19"/>
                <w:szCs w:val="19"/>
                <w:u w:val="none"/>
              </w:rPr>
            </w:pPr>
            <w:r>
              <w:rPr>
                <w:rFonts w:hint="default" w:ascii="Arial" w:hAnsi="Arial" w:eastAsia="宋体" w:cs="Arial"/>
                <w:i w:val="0"/>
                <w:iCs w:val="0"/>
                <w:color w:val="222222"/>
                <w:kern w:val="0"/>
                <w:sz w:val="19"/>
                <w:szCs w:val="19"/>
                <w:u w:val="none"/>
                <w:lang w:val="en-US" w:eastAsia="zh-CN" w:bidi="ar"/>
              </w:rPr>
              <w:t>——</w:t>
            </w:r>
          </w:p>
        </w:tc>
        <w:tc>
          <w:tcPr>
            <w:tcW w:w="82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Arial" w:hAnsi="Arial" w:eastAsia="宋体" w:cs="Arial"/>
                <w:i w:val="0"/>
                <w:iCs w:val="0"/>
                <w:color w:val="222222"/>
                <w:sz w:val="19"/>
                <w:szCs w:val="19"/>
                <w:u w:val="none"/>
              </w:rPr>
            </w:pPr>
            <w:r>
              <w:rPr>
                <w:rFonts w:hint="default" w:ascii="Arial" w:hAnsi="Arial" w:eastAsia="宋体" w:cs="Arial"/>
                <w:i w:val="0"/>
                <w:iCs w:val="0"/>
                <w:color w:val="222222"/>
                <w:kern w:val="0"/>
                <w:sz w:val="19"/>
                <w:szCs w:val="19"/>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trPr>
        <w:tc>
          <w:tcPr>
            <w:tcW w:w="874"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年度总体目标</w:t>
            </w:r>
          </w:p>
        </w:tc>
        <w:tc>
          <w:tcPr>
            <w:tcW w:w="2055"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预期目标</w:t>
            </w:r>
          </w:p>
        </w:tc>
        <w:tc>
          <w:tcPr>
            <w:tcW w:w="207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实际完成情况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20" w:hRule="atLeast"/>
        </w:trPr>
        <w:tc>
          <w:tcPr>
            <w:tcW w:w="874"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055"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内蒙古大兴安岭森林公安局莫尔道嘎分局立足主责主业，严厉打击各类违法犯罪行为，维护辖区社会安全稳定；强化科技赋能，着力构建生态警务新模式，提升公安机关战斗力，推进公安工作现代化。</w:t>
            </w:r>
          </w:p>
        </w:tc>
        <w:tc>
          <w:tcPr>
            <w:tcW w:w="207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2025年度，公安专用装备购置与设施构建预算绩效目标为：莫尔道嘎分局为提高森林公安整体业务装备水平，加大对涉林野生动植物案件的打击力度，维护社会稳定，购置公安指挥通信装备数量1套，公安执法勤务装备4套，公安指挥通信装备合格率100％，公安执法勤务装备合格率100%，及时采购装备，购置设备费用22.00万元，设备采购时限小于等于30日，有效提高社会公众服务能力，有效增强生态环境和野生动物的保护能力，持续提升民辅警装备质量及业务能力。</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截至2025年末，本单位紧紧围绕年初制定的各项考核工作任务，切实加强组织领导，落实工作责任，全面完成了各项目标任务。预算管理方面，我单位制定了切实有效的内部管理制度和经费支出控制方案，有较强的内控风险管理意识、各项经费支出得到了有效控制。保证了单位经费正常运转、收支平衡，日常工作正常有序开展，已完成年度目标和所有绩效指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trPr>
        <w:tc>
          <w:tcPr>
            <w:tcW w:w="43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绩效指标</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一级指标</w:t>
            </w:r>
          </w:p>
        </w:tc>
        <w:tc>
          <w:tcPr>
            <w:tcW w:w="43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二级指标</w:t>
            </w:r>
          </w:p>
        </w:tc>
        <w:tc>
          <w:tcPr>
            <w:tcW w:w="40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三级指标</w:t>
            </w:r>
          </w:p>
        </w:tc>
        <w:tc>
          <w:tcPr>
            <w:tcW w:w="40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指标性质</w:t>
            </w:r>
          </w:p>
        </w:tc>
        <w:tc>
          <w:tcPr>
            <w:tcW w:w="4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指标方向</w:t>
            </w:r>
          </w:p>
        </w:tc>
        <w:tc>
          <w:tcPr>
            <w:tcW w:w="40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年度指标值</w:t>
            </w:r>
          </w:p>
        </w:tc>
        <w:tc>
          <w:tcPr>
            <w:tcW w:w="40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实际完成值</w:t>
            </w:r>
          </w:p>
        </w:tc>
        <w:tc>
          <w:tcPr>
            <w:tcW w:w="40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计量单位</w:t>
            </w:r>
          </w:p>
        </w:tc>
        <w:tc>
          <w:tcPr>
            <w:tcW w:w="40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分值</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得分</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偏差原因分析及改进措施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436" w:type="pct"/>
            <w:vMerge w:val="restar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绩效指标</w:t>
            </w:r>
          </w:p>
        </w:tc>
        <w:tc>
          <w:tcPr>
            <w:tcW w:w="437" w:type="pct"/>
            <w:vMerge w:val="restar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产出指标</w:t>
            </w:r>
          </w:p>
        </w:tc>
        <w:tc>
          <w:tcPr>
            <w:tcW w:w="436" w:type="pct"/>
            <w:vMerge w:val="restar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数量指标</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公安指挥通信装备购置数量</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正向</w:t>
            </w:r>
          </w:p>
        </w:tc>
        <w:tc>
          <w:tcPr>
            <w:tcW w:w="405"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大于等于</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套</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418"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438" w:type="pct"/>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436"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7"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6"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公安执法勤务装备购置</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正向</w:t>
            </w:r>
          </w:p>
        </w:tc>
        <w:tc>
          <w:tcPr>
            <w:tcW w:w="405"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大于等于</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套</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418"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438" w:type="pct"/>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36"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7"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6" w:type="pct"/>
            <w:vMerge w:val="restar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质量指标</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公安指挥通信设备合格率</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正向</w:t>
            </w:r>
          </w:p>
        </w:tc>
        <w:tc>
          <w:tcPr>
            <w:tcW w:w="405"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等于</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100</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100</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418"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438" w:type="pct"/>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36"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7"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6"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公安执法勤务装备合格率</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正向</w:t>
            </w:r>
          </w:p>
        </w:tc>
        <w:tc>
          <w:tcPr>
            <w:tcW w:w="405"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等于</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100</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100</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418"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438" w:type="pct"/>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36"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7"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6" w:type="pct"/>
            <w:vMerge w:val="restar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时效指标</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公安指挥通信设备采购完成时限</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反向</w:t>
            </w:r>
          </w:p>
        </w:tc>
        <w:tc>
          <w:tcPr>
            <w:tcW w:w="405"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小于等于</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30</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30</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日</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418"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438" w:type="pct"/>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36"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7"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6"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公安执法勤务装备采购完成时限</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反向</w:t>
            </w:r>
          </w:p>
        </w:tc>
        <w:tc>
          <w:tcPr>
            <w:tcW w:w="405"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小于等于</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30</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30</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日</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418"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438" w:type="pct"/>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36"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7"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6" w:type="pct"/>
            <w:vMerge w:val="restar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成本指标</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公安指挥通信设备采购成本</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反向</w:t>
            </w:r>
          </w:p>
        </w:tc>
        <w:tc>
          <w:tcPr>
            <w:tcW w:w="405"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小于等于</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20</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20</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万元</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418"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438" w:type="pct"/>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36"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7"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6"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公安执法勤务装备采购成本</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反向</w:t>
            </w:r>
          </w:p>
        </w:tc>
        <w:tc>
          <w:tcPr>
            <w:tcW w:w="405"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小于等于</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万元</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418"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438" w:type="pct"/>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36"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7" w:type="pct"/>
            <w:vMerge w:val="restar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效益指标</w:t>
            </w:r>
          </w:p>
        </w:tc>
        <w:tc>
          <w:tcPr>
            <w:tcW w:w="436"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社会效益指标</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提高为社会公众服务的能力</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定性</w:t>
            </w:r>
          </w:p>
        </w:tc>
        <w:tc>
          <w:tcPr>
            <w:tcW w:w="405" w:type="pct"/>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有效提高</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有效提高</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418"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438" w:type="pct"/>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36"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7"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6"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生态效益指标</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增强对生态环境和野生动植物的保护力度</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定性</w:t>
            </w:r>
          </w:p>
        </w:tc>
        <w:tc>
          <w:tcPr>
            <w:tcW w:w="405" w:type="pct"/>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有效增强</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有效增强</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418"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438" w:type="pct"/>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36"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7"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6"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可持续影响指标</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持续提升民辅警装备质量及业务能力</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定性</w:t>
            </w:r>
          </w:p>
        </w:tc>
        <w:tc>
          <w:tcPr>
            <w:tcW w:w="405" w:type="pct"/>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持续提升</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持续提升</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418"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438" w:type="pct"/>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436" w:type="pct"/>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37"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满意度指标</w:t>
            </w:r>
          </w:p>
        </w:tc>
        <w:tc>
          <w:tcPr>
            <w:tcW w:w="436"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服务对象满意度指标</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民警使用装备满意度</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正向</w:t>
            </w:r>
          </w:p>
        </w:tc>
        <w:tc>
          <w:tcPr>
            <w:tcW w:w="405"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大于等于</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98</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98</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404"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418"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438" w:type="pct"/>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3737"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总分</w:t>
            </w:r>
          </w:p>
        </w:tc>
        <w:tc>
          <w:tcPr>
            <w:tcW w:w="40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100</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100.00</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bl>
    <w:p>
      <w:pPr>
        <w:keepNext w:val="0"/>
        <w:keepLines w:val="0"/>
        <w:pageBreakBefore w:val="0"/>
        <w:widowControl w:val="0"/>
        <w:kinsoku/>
        <w:wordWrap/>
        <w:overflowPunct/>
        <w:topLinePunct w:val="0"/>
        <w:autoSpaceDE/>
        <w:autoSpaceDN/>
        <w:bidi w:val="0"/>
        <w:adjustRightInd/>
        <w:snapToGrid/>
        <w:spacing w:beforeAutospacing="0" w:afterAutospacing="0" w:line="560" w:lineRule="exact"/>
        <w:ind w:firstLine="643" w:firstLineChars="200"/>
        <w:jc w:val="both"/>
        <w:textAlignment w:val="auto"/>
        <w:rPr>
          <w:rFonts w:hint="eastAsia" w:ascii="楷体_GB2312" w:hAnsi="楷体_GB2312" w:eastAsia="楷体_GB2312" w:cs="楷体_GB2312"/>
          <w:b/>
          <w:bCs/>
          <w:kern w:val="0"/>
          <w:sz w:val="32"/>
          <w:szCs w:val="32"/>
          <w:lang w:eastAsia="zh-CN"/>
        </w:rPr>
      </w:pPr>
      <w:r>
        <w:rPr>
          <w:rFonts w:hint="default" w:ascii="楷体_GB2312" w:hAnsi="楷体_GB2312" w:eastAsia="楷体_GB2312" w:cs="楷体_GB2312"/>
          <w:b/>
          <w:bCs/>
          <w:kern w:val="0"/>
          <w:sz w:val="32"/>
          <w:szCs w:val="32"/>
        </w:rPr>
        <w:t>（三）单位项目绩效评价结果</w:t>
      </w:r>
      <w:r>
        <w:rPr>
          <w:rFonts w:hint="eastAsia" w:ascii="楷体_GB2312" w:hAnsi="楷体_GB2312" w:eastAsia="楷体_GB2312" w:cs="楷体_GB2312"/>
          <w:b/>
          <w:bCs/>
          <w:kern w:val="0"/>
          <w:sz w:val="32"/>
          <w:szCs w:val="32"/>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eastAsia="仿宋_GB2312" w:cs="Times New Roman"/>
          <w:kern w:val="0"/>
          <w:sz w:val="32"/>
          <w:szCs w:val="32"/>
          <w:lang w:eastAsia="zh-CN"/>
        </w:rPr>
      </w:pPr>
      <w:r>
        <w:rPr>
          <w:rFonts w:hint="eastAsia" w:eastAsia="仿宋_GB2312" w:cs="Times New Roman"/>
          <w:kern w:val="0"/>
          <w:sz w:val="32"/>
          <w:szCs w:val="32"/>
          <w:lang w:eastAsia="zh-CN"/>
        </w:rPr>
        <w:t>内蒙古大兴安岭森林公安局莫尔道嘎分局</w:t>
      </w:r>
      <w:r>
        <w:rPr>
          <w:rFonts w:hint="eastAsia" w:ascii="Times New Roman" w:hAnsi="Times New Roman" w:eastAsia="仿宋_GB2312" w:cs="Times New Roman"/>
          <w:kern w:val="0"/>
          <w:sz w:val="32"/>
          <w:szCs w:val="32"/>
          <w:lang w:eastAsia="zh-CN"/>
        </w:rPr>
        <w:t>未开展</w:t>
      </w:r>
      <w:r>
        <w:rPr>
          <w:rFonts w:hint="eastAsia" w:eastAsia="仿宋_GB2312" w:cs="Times New Roman"/>
          <w:kern w:val="0"/>
          <w:sz w:val="32"/>
          <w:szCs w:val="32"/>
          <w:lang w:eastAsia="zh-CN"/>
        </w:rPr>
        <w:t>单位</w:t>
      </w:r>
      <w:r>
        <w:rPr>
          <w:rFonts w:hint="eastAsia" w:ascii="Times New Roman" w:hAnsi="Times New Roman" w:eastAsia="仿宋_GB2312" w:cs="Times New Roman"/>
          <w:kern w:val="0"/>
          <w:sz w:val="32"/>
          <w:szCs w:val="32"/>
          <w:lang w:eastAsia="zh-CN"/>
        </w:rPr>
        <w:t>项目绩效评价，所有项目绩效评价均为自评</w:t>
      </w:r>
      <w:r>
        <w:rPr>
          <w:rFonts w:hint="eastAsia" w:eastAsia="仿宋_GB2312" w:cs="Times New Roman"/>
          <w:kern w:val="0"/>
          <w:sz w:val="32"/>
          <w:szCs w:val="32"/>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both"/>
        <w:textAlignment w:val="auto"/>
        <w:rPr>
          <w:rFonts w:hint="eastAsia" w:ascii="楷体_GB2312" w:hAnsi="楷体_GB2312" w:eastAsia="楷体_GB2312" w:cs="楷体_GB2312"/>
          <w:b/>
          <w:bCs/>
          <w:sz w:val="32"/>
          <w:szCs w:val="32"/>
          <w:lang w:eastAsia="zh-CN"/>
        </w:rPr>
      </w:pPr>
      <w:r>
        <w:rPr>
          <w:rFonts w:hint="eastAsia" w:ascii="楷体_GB2312" w:hAnsi="楷体_GB2312" w:eastAsia="楷体_GB2312" w:cs="楷体_GB2312"/>
          <w:b/>
          <w:bCs/>
          <w:sz w:val="32"/>
          <w:szCs w:val="32"/>
          <w:lang w:eastAsia="zh-CN"/>
        </w:rPr>
        <w:t>（四）单位预算绩效管理制度和核心绩效指标标准体系建设情况。</w:t>
      </w:r>
    </w:p>
    <w:p>
      <w:pPr>
        <w:keepNext w:val="0"/>
        <w:keepLines w:val="0"/>
        <w:pageBreakBefore w:val="0"/>
        <w:widowControl w:val="0"/>
        <w:kinsoku/>
        <w:wordWrap/>
        <w:overflowPunct/>
        <w:topLinePunct w:val="0"/>
        <w:autoSpaceDE/>
        <w:autoSpaceDN/>
        <w:bidi w:val="0"/>
        <w:adjustRightInd/>
        <w:snapToGrid/>
        <w:spacing w:line="560" w:lineRule="exact"/>
        <w:ind w:left="0" w:leftChars="0" w:firstLine="640" w:firstLineChars="200"/>
        <w:jc w:val="both"/>
        <w:textAlignment w:val="auto"/>
        <w:rPr>
          <w:rFonts w:hint="eastAsia" w:ascii="仿宋_GB2312" w:hAnsi="仿宋_GB2312" w:eastAsia="仿宋_GB2312" w:cs="仿宋_GB2312"/>
          <w:b w:val="0"/>
          <w:bCs w:val="0"/>
          <w:color w:val="auto"/>
          <w:sz w:val="32"/>
          <w:szCs w:val="32"/>
          <w:lang w:eastAsia="zh-CN"/>
        </w:rPr>
      </w:pPr>
      <w:r>
        <w:rPr>
          <w:rFonts w:hint="eastAsia" w:ascii="仿宋_GB2312" w:hAnsi="仿宋_GB2312" w:eastAsia="仿宋_GB2312" w:cs="仿宋_GB2312"/>
          <w:b w:val="0"/>
          <w:bCs w:val="0"/>
          <w:color w:val="auto"/>
          <w:sz w:val="32"/>
          <w:szCs w:val="32"/>
          <w:lang w:eastAsia="zh-CN"/>
        </w:rPr>
        <w:t>为全面推进预算绩效管理规范化、制度化、科学化建设，深入落实全面实施预算绩效管理工作要求，内蒙古大兴安岭森林公安局莫尔道嘎分局持续完善预算绩效管理体系，健全制度机制、规范指标建设、强化过程管控，全面提升财政资金使用效益。</w:t>
      </w:r>
    </w:p>
    <w:p>
      <w:pPr>
        <w:keepNext w:val="0"/>
        <w:keepLines w:val="0"/>
        <w:pageBreakBefore w:val="0"/>
        <w:widowControl w:val="0"/>
        <w:kinsoku/>
        <w:wordWrap/>
        <w:overflowPunct/>
        <w:topLinePunct w:val="0"/>
        <w:autoSpaceDE/>
        <w:autoSpaceDN/>
        <w:bidi w:val="0"/>
        <w:adjustRightInd/>
        <w:snapToGrid/>
        <w:spacing w:line="560" w:lineRule="exact"/>
        <w:ind w:left="0" w:leftChars="0" w:firstLine="640" w:firstLineChars="200"/>
        <w:jc w:val="both"/>
        <w:textAlignment w:val="auto"/>
        <w:rPr>
          <w:rFonts w:hint="eastAsia" w:ascii="仿宋_GB2312" w:hAnsi="仿宋_GB2312" w:eastAsia="仿宋_GB2312" w:cs="仿宋_GB2312"/>
          <w:b w:val="0"/>
          <w:bCs w:val="0"/>
          <w:color w:val="auto"/>
          <w:sz w:val="32"/>
          <w:szCs w:val="32"/>
          <w:lang w:eastAsia="zh-CN"/>
        </w:rPr>
      </w:pPr>
      <w:r>
        <w:rPr>
          <w:rFonts w:hint="eastAsia" w:ascii="Times New Roman" w:hAnsi="Times New Roman" w:eastAsia="仿宋_GB2312" w:cs="Times New Roman"/>
          <w:b w:val="0"/>
          <w:bCs w:val="0"/>
          <w:kern w:val="0"/>
          <w:sz w:val="32"/>
          <w:szCs w:val="32"/>
          <w:lang w:val="en-US" w:eastAsia="zh-CN"/>
        </w:rPr>
        <w:t>1</w:t>
      </w:r>
      <w:r>
        <w:rPr>
          <w:rFonts w:hint="eastAsia" w:ascii="仿宋_GB2312" w:hAnsi="仿宋_GB2312" w:eastAsia="仿宋_GB2312" w:cs="仿宋_GB2312"/>
          <w:b w:val="0"/>
          <w:bCs w:val="0"/>
          <w:color w:val="auto"/>
          <w:sz w:val="32"/>
          <w:szCs w:val="32"/>
          <w:lang w:val="en-US" w:eastAsia="zh-CN"/>
        </w:rPr>
        <w:t>.</w:t>
      </w:r>
      <w:r>
        <w:rPr>
          <w:rFonts w:hint="eastAsia" w:ascii="仿宋_GB2312" w:hAnsi="仿宋_GB2312" w:eastAsia="仿宋_GB2312" w:cs="仿宋_GB2312"/>
          <w:b w:val="0"/>
          <w:bCs w:val="0"/>
          <w:color w:val="auto"/>
          <w:sz w:val="32"/>
          <w:szCs w:val="32"/>
          <w:lang w:eastAsia="zh-CN"/>
        </w:rPr>
        <w:t>预算绩效管理制度建设情况</w:t>
      </w:r>
    </w:p>
    <w:p>
      <w:pPr>
        <w:keepNext w:val="0"/>
        <w:keepLines w:val="0"/>
        <w:pageBreakBefore w:val="0"/>
        <w:widowControl w:val="0"/>
        <w:kinsoku/>
        <w:wordWrap/>
        <w:overflowPunct/>
        <w:topLinePunct w:val="0"/>
        <w:autoSpaceDE/>
        <w:autoSpaceDN/>
        <w:bidi w:val="0"/>
        <w:adjustRightInd/>
        <w:snapToGrid/>
        <w:spacing w:line="560" w:lineRule="exact"/>
        <w:ind w:left="0" w:leftChars="0" w:firstLine="640" w:firstLineChars="200"/>
        <w:jc w:val="both"/>
        <w:textAlignment w:val="auto"/>
        <w:rPr>
          <w:rFonts w:hint="eastAsia" w:ascii="仿宋_GB2312" w:hAnsi="仿宋_GB2312" w:eastAsia="仿宋_GB2312" w:cs="仿宋_GB2312"/>
          <w:b w:val="0"/>
          <w:bCs w:val="0"/>
          <w:color w:val="auto"/>
          <w:sz w:val="32"/>
          <w:szCs w:val="32"/>
          <w:lang w:eastAsia="zh-CN"/>
        </w:rPr>
      </w:pPr>
      <w:r>
        <w:rPr>
          <w:rFonts w:hint="eastAsia" w:ascii="仿宋_GB2312" w:hAnsi="仿宋_GB2312" w:eastAsia="仿宋_GB2312" w:cs="仿宋_GB2312"/>
          <w:b w:val="0"/>
          <w:bCs w:val="0"/>
          <w:color w:val="auto"/>
          <w:sz w:val="32"/>
          <w:szCs w:val="32"/>
          <w:lang w:eastAsia="zh-CN"/>
        </w:rPr>
        <w:t>内蒙古大兴安岭森林公安局莫尔道嘎分局高度重视预算绩效管理工作，将绩效管理贯穿预算编制、预算执行、资金监管、决算评价全过程，结合单位工作实际，持续健全完善绩效管理配套制度体系，实现预算绩效管理全覆盖、常态化、规范化。</w:t>
      </w:r>
    </w:p>
    <w:p>
      <w:pPr>
        <w:keepNext w:val="0"/>
        <w:keepLines w:val="0"/>
        <w:pageBreakBefore w:val="0"/>
        <w:widowControl w:val="0"/>
        <w:kinsoku/>
        <w:wordWrap/>
        <w:overflowPunct/>
        <w:topLinePunct w:val="0"/>
        <w:autoSpaceDE/>
        <w:autoSpaceDN/>
        <w:bidi w:val="0"/>
        <w:adjustRightInd/>
        <w:snapToGrid/>
        <w:spacing w:line="560" w:lineRule="exact"/>
        <w:ind w:left="0" w:leftChars="0" w:firstLine="640" w:firstLineChars="200"/>
        <w:jc w:val="both"/>
        <w:textAlignment w:val="auto"/>
        <w:rPr>
          <w:rFonts w:hint="eastAsia" w:ascii="Times New Roman" w:hAnsi="Times New Roman" w:eastAsia="仿宋_GB2312" w:cs="Times New Roman"/>
          <w:b w:val="0"/>
          <w:bCs w:val="0"/>
          <w:kern w:val="0"/>
          <w:sz w:val="32"/>
          <w:szCs w:val="32"/>
          <w:lang w:val="en-US" w:eastAsia="zh-CN"/>
        </w:rPr>
      </w:pPr>
      <w:r>
        <w:rPr>
          <w:rFonts w:hint="eastAsia" w:ascii="Times New Roman" w:hAnsi="Times New Roman" w:eastAsia="仿宋_GB2312" w:cs="Times New Roman"/>
          <w:b w:val="0"/>
          <w:bCs w:val="0"/>
          <w:kern w:val="0"/>
          <w:sz w:val="32"/>
          <w:szCs w:val="32"/>
          <w:lang w:val="en-US" w:eastAsia="zh-CN"/>
        </w:rPr>
        <w:t>2.核心绩效指标标准体系建设情况</w:t>
      </w:r>
      <w:bookmarkStart w:id="1" w:name="_GoBack"/>
      <w:bookmarkEnd w:id="1"/>
    </w:p>
    <w:p>
      <w:pPr>
        <w:keepNext w:val="0"/>
        <w:keepLines w:val="0"/>
        <w:pageBreakBefore w:val="0"/>
        <w:widowControl w:val="0"/>
        <w:kinsoku/>
        <w:wordWrap/>
        <w:overflowPunct/>
        <w:topLinePunct w:val="0"/>
        <w:autoSpaceDE/>
        <w:autoSpaceDN/>
        <w:bidi w:val="0"/>
        <w:adjustRightInd/>
        <w:snapToGrid/>
        <w:spacing w:line="560" w:lineRule="exact"/>
        <w:ind w:left="0" w:leftChars="0" w:firstLine="640" w:firstLineChars="200"/>
        <w:jc w:val="both"/>
        <w:textAlignment w:val="auto"/>
        <w:rPr>
          <w:rFonts w:hint="eastAsia" w:ascii="Times New Roman" w:hAnsi="Times New Roman" w:eastAsia="仿宋_GB2312" w:cs="Times New Roman"/>
          <w:kern w:val="0"/>
          <w:sz w:val="32"/>
          <w:szCs w:val="32"/>
          <w:lang w:val="en-US" w:eastAsia="zh-CN"/>
        </w:rPr>
      </w:pPr>
      <w:r>
        <w:rPr>
          <w:rFonts w:hint="eastAsia" w:eastAsia="仿宋_GB2312" w:cs="Times New Roman"/>
          <w:kern w:val="0"/>
          <w:sz w:val="32"/>
          <w:szCs w:val="32"/>
          <w:lang w:val="en-US" w:eastAsia="zh-CN"/>
        </w:rPr>
        <w:t>内蒙古大兴安岭森林公安局莫尔道嘎分局</w:t>
      </w:r>
      <w:r>
        <w:rPr>
          <w:rFonts w:hint="eastAsia" w:ascii="Times New Roman" w:hAnsi="Times New Roman" w:eastAsia="仿宋_GB2312" w:cs="Times New Roman"/>
          <w:kern w:val="0"/>
          <w:sz w:val="32"/>
          <w:szCs w:val="32"/>
          <w:lang w:val="en-US" w:eastAsia="zh-CN"/>
        </w:rPr>
        <w:t>严格落实财政部门关于核心绩效指标体系建设工作要求，立足单位职能职责、年度重点工作、项目实际特点，稳步推进标准化、规范化、精细化核心绩效指标体系建设，逐步建立适配本单位的绩效指标标准库。</w:t>
      </w:r>
    </w:p>
    <w:p>
      <w:pPr>
        <w:keepNext w:val="0"/>
        <w:keepLines w:val="0"/>
        <w:pageBreakBefore w:val="0"/>
        <w:widowControl w:val="0"/>
        <w:kinsoku/>
        <w:wordWrap/>
        <w:overflowPunct/>
        <w:topLinePunct w:val="0"/>
        <w:autoSpaceDE/>
        <w:autoSpaceDN/>
        <w:bidi w:val="0"/>
        <w:adjustRightInd/>
        <w:snapToGrid/>
        <w:spacing w:line="560" w:lineRule="exact"/>
        <w:ind w:left="319" w:leftChars="152" w:firstLine="320" w:firstLineChars="100"/>
        <w:jc w:val="both"/>
        <w:textAlignment w:val="auto"/>
        <w:rPr>
          <w:rFonts w:hint="eastAsia" w:ascii="仿宋_GB2312" w:hAnsi="仿宋_GB2312" w:eastAsia="仿宋_GB2312" w:cs="仿宋_GB2312"/>
          <w:b w:val="0"/>
          <w:bCs w:val="0"/>
          <w:color w:val="FF0000"/>
          <w:sz w:val="32"/>
          <w:szCs w:val="32"/>
          <w:lang w:eastAsia="zh-CN"/>
        </w:rPr>
      </w:pPr>
    </w:p>
    <w:p>
      <w:pPr>
        <w:pStyle w:val="3"/>
        <w:keepNext w:val="0"/>
        <w:keepLines w:val="0"/>
        <w:pageBreakBefore w:val="0"/>
        <w:widowControl w:val="0"/>
        <w:numPr>
          <w:ilvl w:val="0"/>
          <w:numId w:val="0"/>
        </w:numPr>
        <w:kinsoku/>
        <w:wordWrap/>
        <w:overflowPunct/>
        <w:topLinePunct w:val="0"/>
        <w:autoSpaceDE/>
        <w:autoSpaceDN/>
        <w:bidi w:val="0"/>
        <w:adjustRightInd/>
        <w:snapToGrid/>
        <w:spacing w:before="0" w:after="0" w:line="560" w:lineRule="exact"/>
        <w:jc w:val="center"/>
        <w:textAlignment w:val="auto"/>
        <w:rPr>
          <w:rFonts w:hint="default"/>
        </w:rPr>
      </w:pPr>
      <w:r>
        <w:rPr>
          <w:rFonts w:hint="eastAsia" w:ascii="方正小标宋简体" w:hAnsi="方正小标宋简体" w:eastAsia="方正小标宋简体" w:cs="方正小标宋简体"/>
          <w:b w:val="0"/>
          <w:bCs w:val="0"/>
          <w:kern w:val="0"/>
          <w:sz w:val="44"/>
          <w:szCs w:val="44"/>
          <w:lang w:eastAsia="zh-CN"/>
        </w:rPr>
        <w:t>第三部分</w:t>
      </w:r>
      <w:r>
        <w:rPr>
          <w:rFonts w:hint="eastAsia" w:ascii="方正小标宋简体" w:hAnsi="方正小标宋简体" w:eastAsia="方正小标宋简体" w:cs="方正小标宋简体"/>
          <w:b w:val="0"/>
          <w:bCs w:val="0"/>
          <w:kern w:val="0"/>
          <w:sz w:val="44"/>
          <w:szCs w:val="44"/>
          <w:lang w:val="en-US" w:eastAsia="zh-CN"/>
        </w:rPr>
        <w:t xml:space="preserve"> </w:t>
      </w:r>
      <w:r>
        <w:rPr>
          <w:rFonts w:hint="eastAsia" w:ascii="方正小标宋简体" w:hAnsi="方正小标宋简体" w:eastAsia="方正小标宋简体" w:cs="方正小标宋简体"/>
          <w:b w:val="0"/>
          <w:bCs w:val="0"/>
          <w:kern w:val="0"/>
          <w:sz w:val="44"/>
          <w:szCs w:val="44"/>
        </w:rPr>
        <w:t>名词解释</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黑体" w:hAnsi="黑体" w:eastAsia="黑体" w:cs="黑体"/>
          <w:b w:val="0"/>
          <w:bCs w:val="0"/>
          <w:kern w:val="0"/>
          <w:sz w:val="32"/>
          <w:szCs w:val="32"/>
        </w:rPr>
      </w:pP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eastAsia" w:ascii="黑体" w:hAnsi="黑体" w:eastAsia="黑体" w:cs="黑体"/>
          <w:b w:val="0"/>
          <w:bCs w:val="0"/>
          <w:kern w:val="0"/>
          <w:sz w:val="32"/>
          <w:szCs w:val="32"/>
        </w:rPr>
        <w:t>一、财政拨款收入：</w:t>
      </w:r>
      <w:r>
        <w:rPr>
          <w:rFonts w:hint="default" w:ascii="Times New Roman" w:hAnsi="Times New Roman" w:eastAsia="仿宋_GB2312" w:cs="Times New Roman"/>
          <w:kern w:val="0"/>
          <w:sz w:val="32"/>
          <w:szCs w:val="32"/>
        </w:rPr>
        <w:t>从同级财政部门取得的各类财政拨款，包括一般公共预算财政拨款、政府性基金预算财政拨款、国有资本经营预算财政拨款。</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eastAsia" w:ascii="黑体" w:hAnsi="黑体" w:eastAsia="黑体" w:cs="黑体"/>
          <w:b w:val="0"/>
          <w:bCs w:val="0"/>
          <w:kern w:val="0"/>
          <w:sz w:val="32"/>
          <w:szCs w:val="32"/>
          <w:lang w:val="en-US" w:eastAsia="zh-CN"/>
        </w:rPr>
        <w:t>二</w:t>
      </w:r>
      <w:r>
        <w:rPr>
          <w:rFonts w:hint="eastAsia" w:ascii="黑体" w:hAnsi="黑体" w:eastAsia="黑体" w:cs="黑体"/>
          <w:b w:val="0"/>
          <w:bCs w:val="0"/>
          <w:kern w:val="0"/>
          <w:sz w:val="32"/>
          <w:szCs w:val="32"/>
        </w:rPr>
        <w:t>、年初结转和结余：</w:t>
      </w:r>
      <w:r>
        <w:rPr>
          <w:rFonts w:hint="default" w:ascii="Times New Roman" w:hAnsi="Times New Roman" w:eastAsia="仿宋_GB2312" w:cs="Times New Roman"/>
          <w:kern w:val="0"/>
          <w:sz w:val="32"/>
          <w:szCs w:val="32"/>
        </w:rPr>
        <w:t>指单位上年结转本年使用的基本支出结转、项目支出结转和结余、经营结余。</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eastAsia" w:ascii="黑体" w:hAnsi="黑体" w:eastAsia="黑体" w:cs="黑体"/>
          <w:b w:val="0"/>
          <w:bCs w:val="0"/>
          <w:kern w:val="0"/>
          <w:sz w:val="32"/>
          <w:szCs w:val="32"/>
          <w:lang w:val="en-US" w:eastAsia="zh-CN"/>
        </w:rPr>
        <w:t>三</w:t>
      </w:r>
      <w:r>
        <w:rPr>
          <w:rFonts w:hint="eastAsia" w:ascii="黑体" w:hAnsi="黑体" w:eastAsia="黑体" w:cs="黑体"/>
          <w:b w:val="0"/>
          <w:bCs w:val="0"/>
          <w:kern w:val="0"/>
          <w:sz w:val="32"/>
          <w:szCs w:val="32"/>
        </w:rPr>
        <w:t>、年末结转和结余资金：</w:t>
      </w:r>
      <w:r>
        <w:rPr>
          <w:rFonts w:hint="default" w:ascii="Times New Roman" w:hAnsi="Times New Roman" w:eastAsia="仿宋_GB2312" w:cs="Times New Roman"/>
          <w:kern w:val="0"/>
          <w:sz w:val="32"/>
          <w:szCs w:val="32"/>
        </w:rPr>
        <w:t>指单位结转下年的基本支出结转、项目支出结转和结余、经营结余。</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eastAsia" w:ascii="黑体" w:hAnsi="黑体" w:eastAsia="黑体" w:cs="黑体"/>
          <w:b w:val="0"/>
          <w:bCs w:val="0"/>
          <w:kern w:val="0"/>
          <w:sz w:val="32"/>
          <w:szCs w:val="32"/>
          <w:lang w:val="en-US" w:eastAsia="zh-CN"/>
        </w:rPr>
        <w:t>四</w:t>
      </w:r>
      <w:r>
        <w:rPr>
          <w:rFonts w:hint="eastAsia" w:ascii="黑体" w:hAnsi="黑体" w:eastAsia="黑体" w:cs="黑体"/>
          <w:b w:val="0"/>
          <w:bCs w:val="0"/>
          <w:kern w:val="0"/>
          <w:sz w:val="32"/>
          <w:szCs w:val="32"/>
        </w:rPr>
        <w:t>、基本支出：</w:t>
      </w:r>
      <w:r>
        <w:rPr>
          <w:rFonts w:hint="default" w:ascii="Times New Roman" w:hAnsi="Times New Roman" w:eastAsia="仿宋_GB2312" w:cs="Times New Roman"/>
          <w:kern w:val="0"/>
          <w:sz w:val="32"/>
          <w:szCs w:val="32"/>
        </w:rPr>
        <w:t>指为保障机构正常运转、完成日常工作任务所发生的支出，包括人员经费和公用经费。</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eastAsia" w:ascii="黑体" w:hAnsi="黑体" w:eastAsia="黑体" w:cs="黑体"/>
          <w:b w:val="0"/>
          <w:bCs w:val="0"/>
          <w:kern w:val="0"/>
          <w:sz w:val="32"/>
          <w:szCs w:val="32"/>
          <w:lang w:val="en-US" w:eastAsia="zh-CN"/>
        </w:rPr>
        <w:t>五</w:t>
      </w:r>
      <w:r>
        <w:rPr>
          <w:rFonts w:hint="eastAsia" w:ascii="黑体" w:hAnsi="黑体" w:eastAsia="黑体" w:cs="黑体"/>
          <w:b w:val="0"/>
          <w:bCs w:val="0"/>
          <w:kern w:val="0"/>
          <w:sz w:val="32"/>
          <w:szCs w:val="32"/>
        </w:rPr>
        <w:t>、项目支出：</w:t>
      </w:r>
      <w:r>
        <w:rPr>
          <w:rFonts w:hint="default" w:ascii="Times New Roman" w:hAnsi="Times New Roman" w:eastAsia="仿宋_GB2312" w:cs="Times New Roman"/>
          <w:kern w:val="0"/>
          <w:sz w:val="32"/>
          <w:szCs w:val="32"/>
        </w:rPr>
        <w:t>指在为完成特定的工作任务和事业发展目标所发生的支出。</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eastAsia" w:ascii="黑体" w:hAnsi="黑体" w:eastAsia="黑体" w:cs="黑体"/>
          <w:b w:val="0"/>
          <w:bCs w:val="0"/>
          <w:kern w:val="0"/>
          <w:sz w:val="32"/>
          <w:szCs w:val="32"/>
          <w:lang w:val="en-US" w:eastAsia="zh-CN"/>
        </w:rPr>
        <w:t>六</w:t>
      </w:r>
      <w:r>
        <w:rPr>
          <w:rFonts w:hint="eastAsia" w:ascii="黑体" w:hAnsi="黑体" w:eastAsia="黑体" w:cs="黑体"/>
          <w:b w:val="0"/>
          <w:bCs w:val="0"/>
          <w:kern w:val="0"/>
          <w:sz w:val="32"/>
          <w:szCs w:val="32"/>
        </w:rPr>
        <w:t>、“三公”经费：</w:t>
      </w:r>
      <w:r>
        <w:rPr>
          <w:rFonts w:hint="default" w:ascii="Times New Roman" w:hAnsi="Times New Roman" w:eastAsia="仿宋_GB2312" w:cs="Times New Roman"/>
          <w:kern w:val="0"/>
          <w:sz w:val="32"/>
          <w:szCs w:val="32"/>
        </w:rPr>
        <w:t>指单位用财政拨款安排的因公出国（境）费、公务用车购置及运行维护费和公务接待费。其中，因公出国（境）费反映部门（单位）公务出国（境）的国际旅费、国外城市间交通费、住宿费、伙食费、培训费、公杂费等支出；公务用车购置及运行维护费反映单位公务用车购置支出（含车辆购置税、牌照费）以及按规定保留的公务用车燃料费、维修费、过路过桥费、保险费、安全奖励费用等支出；公务接待费反映单位按规定开支的各类公务接待（含外宾接待）费用。</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eastAsia" w:ascii="黑体" w:hAnsi="黑体" w:eastAsia="黑体" w:cs="黑体"/>
          <w:b w:val="0"/>
          <w:bCs w:val="0"/>
          <w:kern w:val="0"/>
          <w:sz w:val="32"/>
          <w:szCs w:val="32"/>
          <w:lang w:val="en-US" w:eastAsia="zh-CN"/>
        </w:rPr>
        <w:t>七</w:t>
      </w:r>
      <w:r>
        <w:rPr>
          <w:rFonts w:hint="eastAsia" w:ascii="黑体" w:hAnsi="黑体" w:eastAsia="黑体" w:cs="黑体"/>
          <w:b w:val="0"/>
          <w:bCs w:val="0"/>
          <w:kern w:val="0"/>
          <w:sz w:val="32"/>
          <w:szCs w:val="32"/>
        </w:rPr>
        <w:t>、机</w:t>
      </w:r>
      <w:r>
        <w:rPr>
          <w:rFonts w:hint="eastAsia" w:ascii="黑体" w:hAnsi="黑体" w:eastAsia="黑体" w:cs="黑体"/>
          <w:b w:val="0"/>
          <w:bCs w:val="0"/>
          <w:kern w:val="0"/>
          <w:sz w:val="32"/>
          <w:szCs w:val="32"/>
          <w:lang w:val="en-US" w:eastAsia="zh-CN"/>
        </w:rPr>
        <w:t>关</w:t>
      </w:r>
      <w:r>
        <w:rPr>
          <w:rFonts w:hint="eastAsia" w:ascii="黑体" w:hAnsi="黑体" w:eastAsia="黑体" w:cs="黑体"/>
          <w:b w:val="0"/>
          <w:bCs w:val="0"/>
          <w:kern w:val="0"/>
          <w:sz w:val="32"/>
          <w:szCs w:val="32"/>
        </w:rPr>
        <w:t>运行经费：</w:t>
      </w:r>
      <w:r>
        <w:rPr>
          <w:rFonts w:hint="default" w:ascii="Times New Roman" w:hAnsi="Times New Roman" w:eastAsia="仿宋_GB2312" w:cs="Times New Roman"/>
          <w:kern w:val="0"/>
          <w:sz w:val="32"/>
          <w:szCs w:val="32"/>
        </w:rPr>
        <w:t>指单位使用一般公共预算安排的基本支出中的日常公用经费支出，包括办公及印刷费、邮电费、差旅费、会议费、福利费、日常维修费、专用材料及一般设备购置费、办公用房水电费、办公用房取暖费、办公用房物业管理费、公务用车运行维护费及其他费用等。</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Times New Roman" w:hAnsi="Times New Roman" w:eastAsia="仿宋_GB2312" w:cs="Times New Roman"/>
          <w:kern w:val="0"/>
          <w:sz w:val="32"/>
          <w:szCs w:val="32"/>
        </w:rPr>
      </w:pPr>
    </w:p>
    <w:p>
      <w:pPr>
        <w:pStyle w:val="3"/>
        <w:keepNext w:val="0"/>
        <w:keepLines w:val="0"/>
        <w:pageBreakBefore w:val="0"/>
        <w:widowControl w:val="0"/>
        <w:kinsoku/>
        <w:wordWrap/>
        <w:overflowPunct/>
        <w:topLinePunct w:val="0"/>
        <w:autoSpaceDE/>
        <w:autoSpaceDN/>
        <w:bidi w:val="0"/>
        <w:adjustRightInd/>
        <w:snapToGrid/>
        <w:spacing w:before="0" w:after="0" w:line="560" w:lineRule="exact"/>
        <w:jc w:val="center"/>
        <w:textAlignment w:val="auto"/>
        <w:rPr>
          <w:rFonts w:hint="eastAsia" w:ascii="方正小标宋简体" w:hAnsi="方正小标宋简体" w:eastAsia="方正小标宋简体" w:cs="方正小标宋简体"/>
          <w:b w:val="0"/>
          <w:bCs w:val="0"/>
          <w:kern w:val="0"/>
          <w:sz w:val="44"/>
          <w:szCs w:val="44"/>
        </w:rPr>
      </w:pPr>
      <w:r>
        <w:rPr>
          <w:rFonts w:hint="eastAsia" w:ascii="方正小标宋简体" w:hAnsi="方正小标宋简体" w:eastAsia="方正小标宋简体" w:cs="方正小标宋简体"/>
          <w:b w:val="0"/>
          <w:bCs w:val="0"/>
          <w:kern w:val="0"/>
          <w:sz w:val="44"/>
          <w:szCs w:val="44"/>
        </w:rPr>
        <w:t>第四部分</w:t>
      </w:r>
      <w:r>
        <w:rPr>
          <w:rFonts w:hint="eastAsia" w:ascii="方正小标宋简体" w:hAnsi="方正小标宋简体" w:eastAsia="方正小标宋简体" w:cs="方正小标宋简体"/>
          <w:b w:val="0"/>
          <w:bCs w:val="0"/>
          <w:kern w:val="0"/>
          <w:sz w:val="44"/>
          <w:szCs w:val="44"/>
          <w:lang w:val="en-US"/>
        </w:rPr>
        <w:t xml:space="preserve"> </w:t>
      </w:r>
      <w:r>
        <w:rPr>
          <w:rFonts w:hint="eastAsia" w:ascii="方正小标宋简体" w:hAnsi="方正小标宋简体" w:eastAsia="方正小标宋简体" w:cs="方正小标宋简体"/>
          <w:b w:val="0"/>
          <w:bCs w:val="0"/>
          <w:kern w:val="0"/>
          <w:sz w:val="44"/>
          <w:szCs w:val="44"/>
        </w:rPr>
        <w:t xml:space="preserve"> 决算公开联系方式及信息反馈渠道</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本单位决算公开信息反馈和联系方式：</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eastAsia="仿宋_GB2312" w:cs="Times New Roman"/>
          <w:kern w:val="0"/>
          <w:sz w:val="32"/>
          <w:szCs w:val="32"/>
          <w:lang w:val="en-US" w:eastAsia="zh-CN"/>
        </w:rPr>
      </w:pPr>
      <w:r>
        <w:rPr>
          <w:rFonts w:hint="default" w:ascii="Times New Roman" w:hAnsi="Times New Roman" w:eastAsia="仿宋_GB2312" w:cs="Times New Roman"/>
          <w:kern w:val="0"/>
          <w:sz w:val="32"/>
          <w:szCs w:val="32"/>
        </w:rPr>
        <w:t>联系人：</w:t>
      </w:r>
      <w:r>
        <w:rPr>
          <w:rFonts w:hint="eastAsia" w:eastAsia="仿宋_GB2312" w:cs="Times New Roman"/>
          <w:kern w:val="0"/>
          <w:sz w:val="32"/>
          <w:szCs w:val="32"/>
          <w:lang w:val="en-US" w:eastAsia="zh-CN"/>
        </w:rPr>
        <w:t xml:space="preserve">杨水英              </w:t>
      </w:r>
      <w:r>
        <w:rPr>
          <w:rFonts w:hint="default" w:ascii="Times New Roman" w:hAnsi="Times New Roman" w:eastAsia="仿宋_GB2312" w:cs="Times New Roman"/>
          <w:kern w:val="0"/>
          <w:sz w:val="32"/>
          <w:szCs w:val="32"/>
        </w:rPr>
        <w:t>联系电话：</w:t>
      </w:r>
      <w:r>
        <w:rPr>
          <w:rFonts w:hint="eastAsia" w:eastAsia="仿宋_GB2312" w:cs="Times New Roman"/>
          <w:kern w:val="0"/>
          <w:sz w:val="32"/>
          <w:szCs w:val="32"/>
          <w:lang w:val="en-US" w:eastAsia="zh-CN"/>
        </w:rPr>
        <w:t>13948095321</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eastAsia="仿宋_GB2312" w:cs="Times New Roman"/>
          <w:kern w:val="0"/>
          <w:sz w:val="32"/>
          <w:szCs w:val="32"/>
          <w:lang w:val="en-US" w:eastAsia="zh-CN"/>
        </w:rPr>
      </w:pPr>
    </w:p>
    <w:p>
      <w:pPr>
        <w:pStyle w:val="3"/>
        <w:keepNext w:val="0"/>
        <w:keepLines w:val="0"/>
        <w:pageBreakBefore w:val="0"/>
        <w:widowControl w:val="0"/>
        <w:numPr>
          <w:ilvl w:val="0"/>
          <w:numId w:val="0"/>
        </w:numPr>
        <w:kinsoku/>
        <w:wordWrap/>
        <w:overflowPunct/>
        <w:topLinePunct w:val="0"/>
        <w:autoSpaceDE/>
        <w:autoSpaceDN/>
        <w:bidi w:val="0"/>
        <w:adjustRightInd/>
        <w:snapToGrid/>
        <w:spacing w:before="0" w:after="0" w:line="560" w:lineRule="exact"/>
        <w:jc w:val="center"/>
        <w:textAlignment w:val="auto"/>
        <w:rPr>
          <w:rFonts w:hint="default"/>
        </w:rPr>
      </w:pPr>
      <w:r>
        <w:rPr>
          <w:rFonts w:hint="eastAsia" w:ascii="方正小标宋简体" w:hAnsi="方正小标宋简体" w:eastAsia="方正小标宋简体" w:cs="方正小标宋简体"/>
          <w:b w:val="0"/>
          <w:bCs w:val="0"/>
          <w:kern w:val="0"/>
          <w:sz w:val="44"/>
          <w:szCs w:val="44"/>
          <w:lang w:val="en-US" w:eastAsia="zh-CN"/>
        </w:rPr>
        <w:t>第五部分</w:t>
      </w:r>
      <w:r>
        <w:rPr>
          <w:rFonts w:hint="default" w:ascii="方正小标宋简体" w:hAnsi="方正小标宋简体" w:eastAsia="方正小标宋简体" w:cs="方正小标宋简体"/>
          <w:b w:val="0"/>
          <w:bCs w:val="0"/>
          <w:kern w:val="0"/>
          <w:sz w:val="44"/>
          <w:szCs w:val="44"/>
          <w:lang w:val="en-US"/>
        </w:rPr>
        <w:t xml:space="preserve"> </w:t>
      </w:r>
      <w:r>
        <w:rPr>
          <w:rFonts w:hint="default" w:ascii="方正小标宋简体" w:hAnsi="方正小标宋简体" w:eastAsia="方正小标宋简体" w:cs="方正小标宋简体"/>
          <w:b w:val="0"/>
          <w:bCs w:val="0"/>
          <w:kern w:val="0"/>
          <w:sz w:val="44"/>
          <w:szCs w:val="44"/>
        </w:rPr>
        <w:t>单位决算表</w:t>
      </w:r>
    </w:p>
    <w:bookmarkEnd w:id="0"/>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一、收入支出决算总表</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二、收入决算表</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三、支出决算表</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四、财政拨款收入支出决算总表</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五、一般公共预算财政拨款支出决算表</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六、一般公共预算财政拨款基本支出决算明细表</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七、一般公共预算财政拨款项目支出决算明细表</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八、政府性基金预算财政拨款收入支出决算表</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九、国有资本经营预算财政拨款支出决算表</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仿宋_GB2312" w:cs="Times New Roman"/>
          <w:kern w:val="0"/>
          <w:sz w:val="32"/>
          <w:szCs w:val="32"/>
        </w:rPr>
      </w:pPr>
      <w:r>
        <w:rPr>
          <w:rFonts w:hint="default" w:ascii="Times New Roman" w:hAnsi="Times New Roman" w:eastAsia="仿宋_GB2312" w:cs="Times New Roman"/>
          <w:kern w:val="0"/>
          <w:sz w:val="32"/>
          <w:szCs w:val="32"/>
        </w:rPr>
        <w:t>十、财政拨款“三公”经费支出决算表</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rPr>
      </w:pPr>
      <w:r>
        <w:rPr>
          <w:rFonts w:hint="default" w:ascii="Times New Roman" w:hAnsi="Times New Roman" w:eastAsia="仿宋_GB2312" w:cs="Times New Roman"/>
          <w:kern w:val="0"/>
          <w:sz w:val="32"/>
          <w:szCs w:val="32"/>
        </w:rPr>
        <w:t>十一、机</w:t>
      </w:r>
      <w:r>
        <w:rPr>
          <w:rFonts w:hint="eastAsia" w:eastAsia="仿宋_GB2312" w:cs="Times New Roman"/>
          <w:kern w:val="0"/>
          <w:sz w:val="32"/>
          <w:szCs w:val="32"/>
          <w:lang w:val="en-US" w:eastAsia="zh-CN"/>
        </w:rPr>
        <w:t>关</w:t>
      </w:r>
      <w:r>
        <w:rPr>
          <w:rFonts w:hint="default" w:ascii="Times New Roman" w:hAnsi="Times New Roman" w:eastAsia="仿宋_GB2312" w:cs="Times New Roman"/>
          <w:kern w:val="0"/>
          <w:sz w:val="32"/>
          <w:szCs w:val="32"/>
        </w:rPr>
        <w:t>运行经费支出、国有资产占用情况及政府采购支出信息表</w:t>
      </w:r>
    </w:p>
    <w:p>
      <w:pPr>
        <w:keepNext w:val="0"/>
        <w:keepLines w:val="0"/>
        <w:pageBreakBefore w:val="0"/>
        <w:tabs>
          <w:tab w:val="left" w:pos="8415"/>
        </w:tabs>
        <w:kinsoku/>
        <w:wordWrap/>
        <w:overflowPunct/>
        <w:topLinePunct w:val="0"/>
        <w:autoSpaceDE/>
        <w:autoSpaceDN/>
        <w:bidi w:val="0"/>
        <w:adjustRightInd/>
        <w:snapToGrid/>
        <w:spacing w:line="560" w:lineRule="exact"/>
        <w:ind w:firstLine="640" w:firstLineChars="200"/>
        <w:textAlignment w:val="auto"/>
        <w:rPr>
          <w:rFonts w:hint="default"/>
          <w:lang w:val="en-US" w:eastAsia="zh-CN"/>
        </w:rPr>
      </w:pPr>
      <w:r>
        <w:rPr>
          <w:rFonts w:hint="eastAsia" w:ascii="仿宋_GB2312" w:hAnsi="仿宋_GB2312" w:eastAsia="仿宋_GB2312" w:cs="仿宋_GB2312"/>
          <w:sz w:val="32"/>
          <w:szCs w:val="32"/>
          <w:lang w:val="en-US" w:eastAsia="zh-CN"/>
        </w:rPr>
        <w:t>备注:按决算公开编制要求，决算公开报告及公开表的计数单位为万元，而2025年决算编制是以元为计数单位，因此小数点后第二位存在四舍五入的差异。</w:t>
      </w:r>
    </w:p>
    <w:p>
      <w:pPr>
        <w:pStyle w:val="21"/>
        <w:keepNext w:val="0"/>
        <w:keepLines w:val="0"/>
        <w:pageBreakBefore w:val="0"/>
        <w:kinsoku/>
        <w:wordWrap/>
        <w:overflowPunct/>
        <w:topLinePunct w:val="0"/>
        <w:autoSpaceDN/>
        <w:bidi w:val="0"/>
        <w:adjustRightInd/>
        <w:spacing w:line="560" w:lineRule="exact"/>
        <w:ind w:left="0" w:leftChars="0" w:firstLine="0" w:firstLineChars="0"/>
        <w:textAlignment w:val="auto"/>
        <w:rPr>
          <w:rFonts w:hint="default" w:ascii="Times New Roman" w:hAnsi="Times New Roman" w:eastAsia="仿宋_GB2312" w:cs="Times New Roman"/>
          <w:kern w:val="0"/>
          <w:sz w:val="32"/>
          <w:szCs w:val="32"/>
          <w:lang w:val="en-US" w:eastAsia="zh-CN"/>
        </w:rPr>
      </w:pPr>
    </w:p>
    <w:sectPr>
      <w:footerReference r:id="rId3" w:type="default"/>
      <w:pgSz w:w="11906" w:h="16838"/>
      <w:pgMar w:top="1440" w:right="1803" w:bottom="1440" w:left="1803" w:header="0" w:footer="1020" w:gutter="0"/>
      <w:paperSrc/>
      <w:pgNumType w:fmt="numberInDash" w:start="1"/>
      <w:cols w:space="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2AEDD186-937A-43A9-B7A2-8C52B8C7C847}"/>
  </w:font>
  <w:font w:name="黑体">
    <w:panose1 w:val="02010609060101010101"/>
    <w:charset w:val="86"/>
    <w:family w:val="auto"/>
    <w:pitch w:val="default"/>
    <w:sig w:usb0="800002BF" w:usb1="38CF7CFA" w:usb2="00000016" w:usb3="00000000" w:csb0="00040001" w:csb1="00000000"/>
    <w:embedRegular r:id="rId2" w:fontKey="{45877EA7-47E6-4292-843F-E2DFA6FBFF1C}"/>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_GB2312">
    <w:panose1 w:val="02010609030101010101"/>
    <w:charset w:val="86"/>
    <w:family w:val="modern"/>
    <w:pitch w:val="default"/>
    <w:sig w:usb0="00000001" w:usb1="080E0000" w:usb2="00000000" w:usb3="00000000" w:csb0="00040000" w:csb1="00000000"/>
    <w:embedRegular r:id="rId3" w:fontKey="{83090F58-7B7B-4EBF-B9F4-2FF42789378A}"/>
  </w:font>
  <w:font w:name="方正小标宋简体">
    <w:panose1 w:val="03000509000000000000"/>
    <w:charset w:val="86"/>
    <w:family w:val="auto"/>
    <w:pitch w:val="default"/>
    <w:sig w:usb0="00000001" w:usb1="080E0000" w:usb2="00000000" w:usb3="00000000" w:csb0="00040000" w:csb1="00000000"/>
    <w:embedRegular r:id="rId4" w:fontKey="{41FD7EAF-C99D-4B82-839F-55DA9A68BAD3}"/>
  </w:font>
  <w:font w:name="方正楷体_GB2312">
    <w:panose1 w:val="02000000000000000000"/>
    <w:charset w:val="86"/>
    <w:family w:val="auto"/>
    <w:pitch w:val="default"/>
    <w:sig w:usb0="A00002BF" w:usb1="184F6CFA" w:usb2="00000012" w:usb3="00000000" w:csb0="00040001" w:csb1="00000000"/>
    <w:embedRegular r:id="rId5" w:fontKey="{E07F077F-EC0A-4740-ACA3-548B255E4A4C}"/>
  </w:font>
  <w:font w:name="楷体_GB2312">
    <w:panose1 w:val="02010609030101010101"/>
    <w:charset w:val="86"/>
    <w:family w:val="auto"/>
    <w:pitch w:val="default"/>
    <w:sig w:usb0="00000001" w:usb1="080E0000" w:usb2="00000000" w:usb3="00000000" w:csb0="00040000" w:csb1="00000000"/>
    <w:embedRegular r:id="rId6" w:fontKey="{DB970F91-DDF6-4C84-94DB-C04C88BDF81B}"/>
  </w:font>
  <w:font w:name="方正仿宋_GB2312">
    <w:panose1 w:val="02000000000000000000"/>
    <w:charset w:val="86"/>
    <w:family w:val="auto"/>
    <w:pitch w:val="default"/>
    <w:sig w:usb0="A00002BF" w:usb1="184F6CFA" w:usb2="00000012" w:usb3="00000000" w:csb0="00040001" w:csb1="00000000"/>
    <w:embedRegular r:id="rId7" w:fontKey="{4E78FA0F-212F-4B6F-B9A5-3A854C0F7DB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tabs>
        <w:tab w:val="center" w:pos="4930"/>
        <w:tab w:val="left" w:pos="8439"/>
      </w:tabs>
      <w:jc w:val="left"/>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13"/>
                            <w:jc w:val="center"/>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fldChar w:fldCharType="begin"/>
                          </w:r>
                          <w:r>
                            <w:rPr>
                              <w:rFonts w:hint="eastAsia" w:asciiTheme="minorEastAsia" w:hAnsiTheme="minorEastAsia" w:eastAsiaTheme="minorEastAsia" w:cstheme="minorEastAsia"/>
                              <w:sz w:val="28"/>
                              <w:szCs w:val="28"/>
                            </w:rPr>
                            <w:instrText xml:space="preserve"> PAGE   \* MERGEFORMAT </w:instrText>
                          </w:r>
                          <w:r>
                            <w:rPr>
                              <w:rFonts w:hint="eastAsia" w:asciiTheme="minorEastAsia" w:hAnsiTheme="minorEastAsia" w:eastAsiaTheme="minorEastAsia" w:cstheme="minorEastAsia"/>
                              <w:sz w:val="28"/>
                              <w:szCs w:val="28"/>
                            </w:rPr>
                            <w:fldChar w:fldCharType="separate"/>
                          </w:r>
                          <w:r>
                            <w:rPr>
                              <w:rFonts w:hint="eastAsia" w:asciiTheme="minorEastAsia" w:hAnsiTheme="minorEastAsia" w:eastAsiaTheme="minorEastAsia" w:cstheme="minorEastAsia"/>
                              <w:sz w:val="28"/>
                              <w:szCs w:val="28"/>
                              <w:lang w:val="zh-CN"/>
                            </w:rPr>
                            <w:t>23</w:t>
                          </w:r>
                          <w:r>
                            <w:rPr>
                              <w:rFonts w:hint="eastAsia" w:asciiTheme="minorEastAsia" w:hAnsiTheme="minorEastAsia" w:eastAsiaTheme="minorEastAsia" w:cstheme="minorEastAsia"/>
                              <w:sz w:val="28"/>
                              <w:szCs w:val="28"/>
                              <w:lang w:val="zh-CN"/>
                            </w:rPr>
                            <w:fldChar w:fldCharType="end"/>
                          </w:r>
                        </w:p>
                      </w:txbxContent>
                    </wps:txbx>
                    <wps:bodyPr wrap="none" lIns="0" tIns="0" rIns="0" bIns="0" upright="0">
                      <a:spAutoFit/>
                    </wps:bodyPr>
                  </wps:wsp>
                </a:graphicData>
              </a:graphic>
            </wp:anchor>
          </w:drawing>
        </mc:Choice>
        <mc:Fallback>
          <w:pict>
            <v:shape id="文本框 3"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5ihY+ckBAACZAwAADgAAAGRycy9lMm9Eb2MueG1srVPNjtMwEL6vxDtY&#10;vlNni4SqqOkKVC1CQoC07AO4jt1Y8p88bpO+ALwBJy573+fqczB2ki4slz1wccYz42/m+2ayvhms&#10;IUcZQXvX0OtFRYl0wrfa7Rt6/+329YoSSNy13HgnG3qSQG82r67Wfajl0nfetDISBHFQ96GhXUqh&#10;ZgxEJy2HhQ/SYVD5aHnCa9yzNvIe0a1hy6p6y3of2xC9kADo3Y5BOiHGlwB6pbSQWy8OVro0okZp&#10;eEJK0OkAdFO6VUqK9EUpkImYhiLTVE4sgvYun2yz5vU+8tBpMbXAX9LCM06Wa4dFL1Bbnjg5RP0P&#10;lNUievAqLYS3bCRSFEEW19Uzbe46HmThglJDuIgO/w9WfD5+jUS3uAmUOG5x4OefP86/Hs8P38mb&#10;LE8foMasu4B5aXjvh5w6+QGdmfWgos1f5EMwjuKeLuLKIRGRH62Wq1WFIYGx+YI47Ol5iJA+SG9J&#10;NhoacXpFVH78BGlMnVNyNedvtTHo57VxfzkQM3tY7n3sMVtp2A1T4zvfnpBPj4NvqMM9p8R8dKhr&#10;3pHZiLOxm41DiHrflSXK9SC8OyRsovSWK4ywU2GcWGE3bVdeiT/vJevpj9r8B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DmKFj5yQEAAJkDAAAOAAAAAAAAAAEAIAAAAB4BAABkcnMvZTJvRG9j&#10;LnhtbFBLBQYAAAAABgAGAFkBAABZBQAAAAA=&#10;">
              <v:fill on="f" focussize="0,0"/>
              <v:stroke on="f"/>
              <v:imagedata o:title=""/>
              <o:lock v:ext="edit" aspectratio="f"/>
              <v:textbox inset="0mm,0mm,0mm,0mm" style="mso-fit-shape-to-text:t;">
                <w:txbxContent>
                  <w:p>
                    <w:pPr>
                      <w:pStyle w:val="13"/>
                      <w:jc w:val="center"/>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fldChar w:fldCharType="begin"/>
                    </w:r>
                    <w:r>
                      <w:rPr>
                        <w:rFonts w:hint="eastAsia" w:asciiTheme="minorEastAsia" w:hAnsiTheme="minorEastAsia" w:eastAsiaTheme="minorEastAsia" w:cstheme="minorEastAsia"/>
                        <w:sz w:val="28"/>
                        <w:szCs w:val="28"/>
                      </w:rPr>
                      <w:instrText xml:space="preserve"> PAGE   \* MERGEFORMAT </w:instrText>
                    </w:r>
                    <w:r>
                      <w:rPr>
                        <w:rFonts w:hint="eastAsia" w:asciiTheme="minorEastAsia" w:hAnsiTheme="minorEastAsia" w:eastAsiaTheme="minorEastAsia" w:cstheme="minorEastAsia"/>
                        <w:sz w:val="28"/>
                        <w:szCs w:val="28"/>
                      </w:rPr>
                      <w:fldChar w:fldCharType="separate"/>
                    </w:r>
                    <w:r>
                      <w:rPr>
                        <w:rFonts w:hint="eastAsia" w:asciiTheme="minorEastAsia" w:hAnsiTheme="minorEastAsia" w:eastAsiaTheme="minorEastAsia" w:cstheme="minorEastAsia"/>
                        <w:sz w:val="28"/>
                        <w:szCs w:val="28"/>
                        <w:lang w:val="zh-CN"/>
                      </w:rPr>
                      <w:t>23</w:t>
                    </w:r>
                    <w:r>
                      <w:rPr>
                        <w:rFonts w:hint="eastAsia" w:asciiTheme="minorEastAsia" w:hAnsiTheme="minorEastAsia" w:eastAsiaTheme="minorEastAsia" w:cstheme="minorEastAsia"/>
                        <w:sz w:val="28"/>
                        <w:szCs w:val="28"/>
                        <w:lang w:val="zh-CN"/>
                      </w:rPr>
                      <w:fldChar w:fldCharType="end"/>
                    </w:r>
                  </w:p>
                </w:txbxContent>
              </v:textbox>
            </v:shape>
          </w:pict>
        </mc:Fallback>
      </mc:AlternateContent>
    </w:r>
    <w:r>
      <w:rPr>
        <w:lang w:val="en-US"/>
      </w:rPr>
      <w:tab/>
    </w:r>
    <w:r>
      <w:rPr>
        <w:lang w:val="en-US"/>
      </w:rPr>
      <w:tab/>
    </w:r>
    <w:r>
      <w:rPr>
        <w:lang w:val="en-US"/>
      </w:rPr>
      <w:tab/>
    </w:r>
    <w:r>
      <w:rPr>
        <w:lang w:val="en-US"/>
      </w:rPr>
      <w:tab/>
    </w:r>
  </w:p>
  <w:p>
    <w:pPr>
      <w:pStyle w:val="13"/>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7F6E188"/>
    <w:multiLevelType w:val="singleLevel"/>
    <w:tmpl w:val="B7F6E188"/>
    <w:lvl w:ilvl="0" w:tentative="0">
      <w:start w:val="1"/>
      <w:numFmt w:val="chineseCounting"/>
      <w:suff w:val="nothing"/>
      <w:lvlText w:val="（%1）"/>
      <w:lvlJc w:val="left"/>
      <w:rPr>
        <w:rFonts w:hint="eastAsia" w:ascii="楷体" w:hAnsi="楷体" w:eastAsia="楷体" w:cs="楷体"/>
        <w:b/>
        <w:bCs/>
        <w:sz w:val="32"/>
        <w:szCs w:val="32"/>
      </w:rPr>
    </w:lvl>
  </w:abstractNum>
  <w:abstractNum w:abstractNumId="1">
    <w:nsid w:val="CD62F11F"/>
    <w:multiLevelType w:val="singleLevel"/>
    <w:tmpl w:val="CD62F11F"/>
    <w:lvl w:ilvl="0" w:tentative="0">
      <w:start w:val="2"/>
      <w:numFmt w:val="chineseCounting"/>
      <w:suff w:val="nothing"/>
      <w:lvlText w:val="%1、"/>
      <w:lvlJc w:val="left"/>
      <w:rPr>
        <w:rFonts w:hint="eastAsia" w:ascii="黑体" w:hAnsi="黑体" w:eastAsia="黑体" w:cs="黑体"/>
        <w:sz w:val="32"/>
        <w:szCs w:val="32"/>
      </w:rPr>
    </w:lvl>
  </w:abstractNum>
  <w:abstractNum w:abstractNumId="2">
    <w:nsid w:val="F9558637"/>
    <w:multiLevelType w:val="singleLevel"/>
    <w:tmpl w:val="F9558637"/>
    <w:lvl w:ilvl="0" w:tentative="0">
      <w:start w:val="1"/>
      <w:numFmt w:val="chineseCounting"/>
      <w:suff w:val="nothing"/>
      <w:lvlText w:val="（%1）"/>
      <w:lvlJc w:val="left"/>
      <w:rPr>
        <w:rFonts w:hint="eastAsia" w:ascii="楷体_GB2312" w:hAnsi="楷体_GB2312" w:eastAsia="楷体_GB2312" w:cs="楷体_GB2312"/>
        <w:b/>
        <w:bCs/>
        <w:sz w:val="32"/>
        <w:szCs w:val="32"/>
      </w:rPr>
    </w:lvl>
  </w:abstractNum>
  <w:abstractNum w:abstractNumId="3">
    <w:nsid w:val="02672BE0"/>
    <w:multiLevelType w:val="singleLevel"/>
    <w:tmpl w:val="02672BE0"/>
    <w:lvl w:ilvl="0" w:tentative="0">
      <w:start w:val="1"/>
      <w:numFmt w:val="chineseCounting"/>
      <w:suff w:val="space"/>
      <w:lvlText w:val="第%1部分"/>
      <w:lvlJc w:val="left"/>
      <w:rPr>
        <w:rFonts w:hint="eastAsia"/>
      </w:rPr>
    </w:lvl>
  </w:abstractNum>
  <w:abstractNum w:abstractNumId="4">
    <w:nsid w:val="2374C6E0"/>
    <w:multiLevelType w:val="singleLevel"/>
    <w:tmpl w:val="2374C6E0"/>
    <w:lvl w:ilvl="0" w:tentative="0">
      <w:start w:val="1"/>
      <w:numFmt w:val="chineseCounting"/>
      <w:suff w:val="nothing"/>
      <w:lvlText w:val="（%1）"/>
      <w:lvlJc w:val="left"/>
      <w:rPr>
        <w:rFonts w:hint="eastAsia" w:ascii="楷体" w:hAnsi="楷体" w:eastAsia="楷体" w:cs="楷体"/>
        <w:b/>
        <w:bCs/>
        <w:sz w:val="32"/>
        <w:szCs w:val="32"/>
      </w:rPr>
    </w:lvl>
  </w:abstractNum>
  <w:num w:numId="1">
    <w:abstractNumId w:val="3"/>
  </w:num>
  <w:num w:numId="2">
    <w:abstractNumId w:val="4"/>
  </w:num>
  <w:num w:numId="3">
    <w:abstractNumId w:val="1"/>
  </w:num>
  <w:num w:numId="4">
    <w:abstractNumId w:val="2"/>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TM5ZTY4NGQ4MzhkZDIwMWEwMjVjZDM5ZTI3MmZjODcifQ=="/>
  </w:docVars>
  <w:rsids>
    <w:rsidRoot w:val="009F0536"/>
    <w:rsid w:val="0000662F"/>
    <w:rsid w:val="00023E75"/>
    <w:rsid w:val="00033C6A"/>
    <w:rsid w:val="00063AC2"/>
    <w:rsid w:val="000774F0"/>
    <w:rsid w:val="0008308B"/>
    <w:rsid w:val="00097269"/>
    <w:rsid w:val="000A769F"/>
    <w:rsid w:val="000D3889"/>
    <w:rsid w:val="0010682D"/>
    <w:rsid w:val="001620BF"/>
    <w:rsid w:val="001814D4"/>
    <w:rsid w:val="00183373"/>
    <w:rsid w:val="001E7634"/>
    <w:rsid w:val="00204509"/>
    <w:rsid w:val="00225D2E"/>
    <w:rsid w:val="0023107E"/>
    <w:rsid w:val="00233241"/>
    <w:rsid w:val="00297C52"/>
    <w:rsid w:val="00300987"/>
    <w:rsid w:val="0030784F"/>
    <w:rsid w:val="00312846"/>
    <w:rsid w:val="00367870"/>
    <w:rsid w:val="00375E79"/>
    <w:rsid w:val="003A4E85"/>
    <w:rsid w:val="003B3EAA"/>
    <w:rsid w:val="00482D36"/>
    <w:rsid w:val="00490629"/>
    <w:rsid w:val="0049507B"/>
    <w:rsid w:val="004A738F"/>
    <w:rsid w:val="004B1589"/>
    <w:rsid w:val="004B721F"/>
    <w:rsid w:val="004D7065"/>
    <w:rsid w:val="004E0B6C"/>
    <w:rsid w:val="005011E1"/>
    <w:rsid w:val="00505A51"/>
    <w:rsid w:val="0051384E"/>
    <w:rsid w:val="00521603"/>
    <w:rsid w:val="00536012"/>
    <w:rsid w:val="0054657E"/>
    <w:rsid w:val="0059054F"/>
    <w:rsid w:val="00596608"/>
    <w:rsid w:val="005B4139"/>
    <w:rsid w:val="005C13AB"/>
    <w:rsid w:val="00667493"/>
    <w:rsid w:val="006C017F"/>
    <w:rsid w:val="006E7255"/>
    <w:rsid w:val="007003B2"/>
    <w:rsid w:val="007402A0"/>
    <w:rsid w:val="00762248"/>
    <w:rsid w:val="00787000"/>
    <w:rsid w:val="007A7BA5"/>
    <w:rsid w:val="007B6706"/>
    <w:rsid w:val="007C1FDD"/>
    <w:rsid w:val="007D6292"/>
    <w:rsid w:val="00857D98"/>
    <w:rsid w:val="00894C48"/>
    <w:rsid w:val="00896385"/>
    <w:rsid w:val="008A10DB"/>
    <w:rsid w:val="008B5455"/>
    <w:rsid w:val="009125DD"/>
    <w:rsid w:val="00954CD9"/>
    <w:rsid w:val="009A5EF3"/>
    <w:rsid w:val="009D6904"/>
    <w:rsid w:val="009E1EE8"/>
    <w:rsid w:val="009E227B"/>
    <w:rsid w:val="009E308A"/>
    <w:rsid w:val="009F0536"/>
    <w:rsid w:val="00A147CF"/>
    <w:rsid w:val="00A270BE"/>
    <w:rsid w:val="00A36C1D"/>
    <w:rsid w:val="00A517A0"/>
    <w:rsid w:val="00A62486"/>
    <w:rsid w:val="00AB013A"/>
    <w:rsid w:val="00AD11A5"/>
    <w:rsid w:val="00AE47F5"/>
    <w:rsid w:val="00AF5F33"/>
    <w:rsid w:val="00B27D51"/>
    <w:rsid w:val="00B32BEE"/>
    <w:rsid w:val="00B373AF"/>
    <w:rsid w:val="00B4208A"/>
    <w:rsid w:val="00B57D7A"/>
    <w:rsid w:val="00B76620"/>
    <w:rsid w:val="00B840CE"/>
    <w:rsid w:val="00B96C3D"/>
    <w:rsid w:val="00BD0928"/>
    <w:rsid w:val="00BE5F73"/>
    <w:rsid w:val="00BF4228"/>
    <w:rsid w:val="00C07A30"/>
    <w:rsid w:val="00C352FF"/>
    <w:rsid w:val="00C44231"/>
    <w:rsid w:val="00CC6B8B"/>
    <w:rsid w:val="00CD3751"/>
    <w:rsid w:val="00D2051A"/>
    <w:rsid w:val="00D96390"/>
    <w:rsid w:val="00E219E7"/>
    <w:rsid w:val="00E60D6A"/>
    <w:rsid w:val="00E73321"/>
    <w:rsid w:val="00E77EC0"/>
    <w:rsid w:val="00E914C1"/>
    <w:rsid w:val="00E97C37"/>
    <w:rsid w:val="00EE533B"/>
    <w:rsid w:val="00F04882"/>
    <w:rsid w:val="00F63327"/>
    <w:rsid w:val="00F80A29"/>
    <w:rsid w:val="00FA7CA5"/>
    <w:rsid w:val="00FD08EC"/>
    <w:rsid w:val="00FD7690"/>
    <w:rsid w:val="01101DD0"/>
    <w:rsid w:val="01E274B5"/>
    <w:rsid w:val="0236335D"/>
    <w:rsid w:val="041A01D6"/>
    <w:rsid w:val="05701A1E"/>
    <w:rsid w:val="06BC6527"/>
    <w:rsid w:val="06DC2273"/>
    <w:rsid w:val="07025890"/>
    <w:rsid w:val="07702E6D"/>
    <w:rsid w:val="07FF7769"/>
    <w:rsid w:val="080E4524"/>
    <w:rsid w:val="084713E4"/>
    <w:rsid w:val="0854453D"/>
    <w:rsid w:val="090E0B90"/>
    <w:rsid w:val="09736C45"/>
    <w:rsid w:val="09CB6A81"/>
    <w:rsid w:val="0A375EC4"/>
    <w:rsid w:val="0A420DCF"/>
    <w:rsid w:val="0AF73FD1"/>
    <w:rsid w:val="0BC342A5"/>
    <w:rsid w:val="0BDC0624"/>
    <w:rsid w:val="0C367E31"/>
    <w:rsid w:val="0C474AE5"/>
    <w:rsid w:val="0C811679"/>
    <w:rsid w:val="0E7E0566"/>
    <w:rsid w:val="0F744C35"/>
    <w:rsid w:val="10A2678D"/>
    <w:rsid w:val="1145092C"/>
    <w:rsid w:val="141F11F4"/>
    <w:rsid w:val="167C182F"/>
    <w:rsid w:val="16E566E9"/>
    <w:rsid w:val="171323D2"/>
    <w:rsid w:val="17B8794A"/>
    <w:rsid w:val="17CF598E"/>
    <w:rsid w:val="185F6D12"/>
    <w:rsid w:val="18842C1C"/>
    <w:rsid w:val="19106158"/>
    <w:rsid w:val="19942389"/>
    <w:rsid w:val="1B334C72"/>
    <w:rsid w:val="1BC03F6C"/>
    <w:rsid w:val="1C4701E9"/>
    <w:rsid w:val="1C4C57FF"/>
    <w:rsid w:val="1C7B4336"/>
    <w:rsid w:val="1CB74E71"/>
    <w:rsid w:val="1E7C1226"/>
    <w:rsid w:val="1F13603C"/>
    <w:rsid w:val="1FCC4D12"/>
    <w:rsid w:val="1FCE2185"/>
    <w:rsid w:val="1FEF6BCD"/>
    <w:rsid w:val="20AC0257"/>
    <w:rsid w:val="20FC4D57"/>
    <w:rsid w:val="21644D58"/>
    <w:rsid w:val="230E1A60"/>
    <w:rsid w:val="231102E1"/>
    <w:rsid w:val="23DE65CA"/>
    <w:rsid w:val="2428695C"/>
    <w:rsid w:val="245060A9"/>
    <w:rsid w:val="25A641D2"/>
    <w:rsid w:val="25E60A73"/>
    <w:rsid w:val="26075C0B"/>
    <w:rsid w:val="26302428"/>
    <w:rsid w:val="26B11406"/>
    <w:rsid w:val="26B23AD8"/>
    <w:rsid w:val="27C17045"/>
    <w:rsid w:val="280F62EE"/>
    <w:rsid w:val="28243AD4"/>
    <w:rsid w:val="28275FC8"/>
    <w:rsid w:val="29686A16"/>
    <w:rsid w:val="29742F44"/>
    <w:rsid w:val="2A2E73AD"/>
    <w:rsid w:val="2A503006"/>
    <w:rsid w:val="2A7C7BF7"/>
    <w:rsid w:val="2A842484"/>
    <w:rsid w:val="2A9A1E2C"/>
    <w:rsid w:val="2B5446D0"/>
    <w:rsid w:val="2CB82A3D"/>
    <w:rsid w:val="2DF80CF9"/>
    <w:rsid w:val="2EA713C6"/>
    <w:rsid w:val="2EB7570C"/>
    <w:rsid w:val="2FBE288C"/>
    <w:rsid w:val="32217121"/>
    <w:rsid w:val="3233535A"/>
    <w:rsid w:val="32745E60"/>
    <w:rsid w:val="32A06DDA"/>
    <w:rsid w:val="32B44ECE"/>
    <w:rsid w:val="33662E93"/>
    <w:rsid w:val="348F22D5"/>
    <w:rsid w:val="350779E5"/>
    <w:rsid w:val="35170C48"/>
    <w:rsid w:val="35284C04"/>
    <w:rsid w:val="353F1F4D"/>
    <w:rsid w:val="36D65DA6"/>
    <w:rsid w:val="38285B11"/>
    <w:rsid w:val="38785033"/>
    <w:rsid w:val="389C6927"/>
    <w:rsid w:val="39570C14"/>
    <w:rsid w:val="39694B31"/>
    <w:rsid w:val="39970704"/>
    <w:rsid w:val="39C849E6"/>
    <w:rsid w:val="3C607907"/>
    <w:rsid w:val="3CDD2778"/>
    <w:rsid w:val="3DAD04CA"/>
    <w:rsid w:val="3DE71C6E"/>
    <w:rsid w:val="3DEF29FD"/>
    <w:rsid w:val="401E07DD"/>
    <w:rsid w:val="41175B2C"/>
    <w:rsid w:val="41EC6FB9"/>
    <w:rsid w:val="44777D11"/>
    <w:rsid w:val="44AB2746"/>
    <w:rsid w:val="456D1B47"/>
    <w:rsid w:val="46B178BD"/>
    <w:rsid w:val="46D27A3E"/>
    <w:rsid w:val="46EF32EB"/>
    <w:rsid w:val="48531BFE"/>
    <w:rsid w:val="49A14B2D"/>
    <w:rsid w:val="4A5241F9"/>
    <w:rsid w:val="4A907563"/>
    <w:rsid w:val="4AA91362"/>
    <w:rsid w:val="4B1D79EA"/>
    <w:rsid w:val="4C416153"/>
    <w:rsid w:val="4E364DFD"/>
    <w:rsid w:val="4E9157CD"/>
    <w:rsid w:val="4F1418FD"/>
    <w:rsid w:val="50236D05"/>
    <w:rsid w:val="507D126F"/>
    <w:rsid w:val="51903ADB"/>
    <w:rsid w:val="51E26EF9"/>
    <w:rsid w:val="52944998"/>
    <w:rsid w:val="52CA08AE"/>
    <w:rsid w:val="53AE4D66"/>
    <w:rsid w:val="543071D9"/>
    <w:rsid w:val="54B93C75"/>
    <w:rsid w:val="553A4266"/>
    <w:rsid w:val="562B18CE"/>
    <w:rsid w:val="568C658B"/>
    <w:rsid w:val="57F66A66"/>
    <w:rsid w:val="58DA3BB7"/>
    <w:rsid w:val="58DE371C"/>
    <w:rsid w:val="599A619D"/>
    <w:rsid w:val="59C04B5B"/>
    <w:rsid w:val="59E4776E"/>
    <w:rsid w:val="59E71386"/>
    <w:rsid w:val="5A5664CE"/>
    <w:rsid w:val="5A7D0C9E"/>
    <w:rsid w:val="5AEA0AF1"/>
    <w:rsid w:val="5AF6416D"/>
    <w:rsid w:val="5BC07D3F"/>
    <w:rsid w:val="5BCF6C2F"/>
    <w:rsid w:val="5DDC4653"/>
    <w:rsid w:val="5DFD25B8"/>
    <w:rsid w:val="5E204EB0"/>
    <w:rsid w:val="5F681F1D"/>
    <w:rsid w:val="5FE00FF6"/>
    <w:rsid w:val="6012446D"/>
    <w:rsid w:val="6019286A"/>
    <w:rsid w:val="60194FC5"/>
    <w:rsid w:val="60AF2527"/>
    <w:rsid w:val="60FE4F9C"/>
    <w:rsid w:val="62E6107B"/>
    <w:rsid w:val="6320055F"/>
    <w:rsid w:val="63264F7C"/>
    <w:rsid w:val="635972A1"/>
    <w:rsid w:val="63684BF5"/>
    <w:rsid w:val="63D22DF3"/>
    <w:rsid w:val="646A5329"/>
    <w:rsid w:val="654D2193"/>
    <w:rsid w:val="65C6799D"/>
    <w:rsid w:val="660B1854"/>
    <w:rsid w:val="660B47A8"/>
    <w:rsid w:val="66405300"/>
    <w:rsid w:val="66BC58AB"/>
    <w:rsid w:val="688645FD"/>
    <w:rsid w:val="69690D6B"/>
    <w:rsid w:val="69831701"/>
    <w:rsid w:val="69913E1E"/>
    <w:rsid w:val="6A5007E0"/>
    <w:rsid w:val="6A624A98"/>
    <w:rsid w:val="6AFD8962"/>
    <w:rsid w:val="6B8B4343"/>
    <w:rsid w:val="6BCE74C2"/>
    <w:rsid w:val="6BDC4FFA"/>
    <w:rsid w:val="6C1218F5"/>
    <w:rsid w:val="6C9156FE"/>
    <w:rsid w:val="6CA11106"/>
    <w:rsid w:val="6D371181"/>
    <w:rsid w:val="6D5227AC"/>
    <w:rsid w:val="6D965EA7"/>
    <w:rsid w:val="6E386F5E"/>
    <w:rsid w:val="6F46725F"/>
    <w:rsid w:val="6FD716D1"/>
    <w:rsid w:val="705B3926"/>
    <w:rsid w:val="716F0EE9"/>
    <w:rsid w:val="717E737E"/>
    <w:rsid w:val="725D52E2"/>
    <w:rsid w:val="727C4E94"/>
    <w:rsid w:val="7337219E"/>
    <w:rsid w:val="734F0FD2"/>
    <w:rsid w:val="73DF1561"/>
    <w:rsid w:val="745A0567"/>
    <w:rsid w:val="750C6581"/>
    <w:rsid w:val="750D03A6"/>
    <w:rsid w:val="75CD61DE"/>
    <w:rsid w:val="75D82F18"/>
    <w:rsid w:val="76BF6252"/>
    <w:rsid w:val="77232F24"/>
    <w:rsid w:val="7738390C"/>
    <w:rsid w:val="7758241F"/>
    <w:rsid w:val="776F3B30"/>
    <w:rsid w:val="7778326E"/>
    <w:rsid w:val="77DB4338"/>
    <w:rsid w:val="77FA34D6"/>
    <w:rsid w:val="7A77614E"/>
    <w:rsid w:val="7A9A0D49"/>
    <w:rsid w:val="7AC14721"/>
    <w:rsid w:val="7AFD7566"/>
    <w:rsid w:val="7BD576B2"/>
    <w:rsid w:val="7BE06876"/>
    <w:rsid w:val="7C7B2E38"/>
    <w:rsid w:val="7D9A5540"/>
    <w:rsid w:val="7E056839"/>
    <w:rsid w:val="7E0A0730"/>
    <w:rsid w:val="7E2240DB"/>
    <w:rsid w:val="7EC66B63"/>
    <w:rsid w:val="7EDB37DE"/>
    <w:rsid w:val="7FAA6269"/>
    <w:rsid w:val="7FD13871"/>
    <w:rsid w:val="EDFF3A84"/>
    <w:rsid w:val="FD795A6D"/>
    <w:rsid w:val="FDBB945E"/>
    <w:rsid w:val="FFD718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uiPriority="0" w:name="Normal Indent"/>
    <w:lsdException w:uiPriority="0" w:name="footnote text"/>
    <w:lsdException w:qFormat="1"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qFormat="1" w:uiPriority="0" w:name="annotation reference"/>
    <w:lsdException w:uiPriority="0" w:name="line number"/>
    <w:lsdException w:qFormat="1" w:unhideWhenUsed="0" w:uiPriority="0" w:semiHidden="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qFormat="1" w:unhideWhenUsed="0" w:uiPriority="0" w:semiHidden="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qFormat="1" w:unhideWhenUsed="0" w:uiPriority="0" w:semiHidden="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uiPriority="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uiPriority="0" w:name="Plain Text"/>
    <w:lsdException w:uiPriority="0" w:name="E-mail Signature"/>
    <w:lsdException w:qFormat="1"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keepNext/>
      <w:keepLines/>
      <w:spacing w:before="340" w:after="330" w:line="578" w:lineRule="auto"/>
      <w:outlineLvl w:val="0"/>
    </w:pPr>
    <w:rPr>
      <w:b/>
      <w:bCs/>
      <w:kern w:val="44"/>
      <w:sz w:val="44"/>
      <w:szCs w:val="44"/>
    </w:rPr>
  </w:style>
  <w:style w:type="paragraph" w:styleId="3">
    <w:name w:val="heading 2"/>
    <w:basedOn w:val="1"/>
    <w:next w:val="1"/>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32"/>
    <w:qFormat/>
    <w:uiPriority w:val="0"/>
    <w:pPr>
      <w:keepNext/>
      <w:keepLines/>
      <w:spacing w:before="260" w:after="260" w:line="416" w:lineRule="auto"/>
      <w:outlineLvl w:val="2"/>
    </w:pPr>
    <w:rPr>
      <w:b/>
      <w:bCs/>
      <w:sz w:val="32"/>
      <w:szCs w:val="32"/>
    </w:rPr>
  </w:style>
  <w:style w:type="paragraph" w:styleId="5">
    <w:name w:val="heading 4"/>
    <w:basedOn w:val="1"/>
    <w:next w:val="1"/>
    <w:link w:val="27"/>
    <w:qFormat/>
    <w:uiPriority w:val="0"/>
    <w:pPr>
      <w:keepNext/>
      <w:keepLines/>
      <w:spacing w:before="280" w:after="290" w:line="376" w:lineRule="auto"/>
      <w:outlineLvl w:val="3"/>
    </w:pPr>
    <w:rPr>
      <w:rFonts w:ascii="Cambria" w:hAnsi="Cambria"/>
      <w:b/>
      <w:bCs/>
      <w:sz w:val="28"/>
      <w:szCs w:val="28"/>
    </w:rPr>
  </w:style>
  <w:style w:type="character" w:default="1" w:styleId="23">
    <w:name w:val="Default Paragraph Font"/>
    <w:semiHidden/>
    <w:unhideWhenUsed/>
    <w:qFormat/>
    <w:uiPriority w:val="1"/>
  </w:style>
  <w:style w:type="table" w:default="1" w:styleId="22">
    <w:name w:val="Normal Table"/>
    <w:semiHidden/>
    <w:unhideWhenUsed/>
    <w:qFormat/>
    <w:uiPriority w:val="99"/>
    <w:tblPr>
      <w:tblCellMar>
        <w:top w:w="0" w:type="dxa"/>
        <w:left w:w="108" w:type="dxa"/>
        <w:bottom w:w="0" w:type="dxa"/>
        <w:right w:w="108" w:type="dxa"/>
      </w:tblCellMar>
    </w:tblPr>
  </w:style>
  <w:style w:type="paragraph" w:styleId="6">
    <w:name w:val="toc 7"/>
    <w:basedOn w:val="1"/>
    <w:next w:val="1"/>
    <w:qFormat/>
    <w:uiPriority w:val="0"/>
    <w:pPr>
      <w:ind w:left="1260"/>
      <w:jc w:val="left"/>
    </w:pPr>
    <w:rPr>
      <w:sz w:val="20"/>
      <w:szCs w:val="20"/>
    </w:rPr>
  </w:style>
  <w:style w:type="paragraph" w:styleId="7">
    <w:name w:val="Document Map"/>
    <w:basedOn w:val="1"/>
    <w:qFormat/>
    <w:uiPriority w:val="0"/>
    <w:pPr>
      <w:shd w:val="clear" w:color="auto" w:fill="000080"/>
    </w:pPr>
  </w:style>
  <w:style w:type="paragraph" w:styleId="8">
    <w:name w:val="annotation text"/>
    <w:basedOn w:val="1"/>
    <w:semiHidden/>
    <w:unhideWhenUsed/>
    <w:qFormat/>
    <w:uiPriority w:val="0"/>
    <w:pPr>
      <w:jc w:val="left"/>
    </w:pPr>
  </w:style>
  <w:style w:type="paragraph" w:styleId="9">
    <w:name w:val="Body Text Indent"/>
    <w:basedOn w:val="1"/>
    <w:qFormat/>
    <w:uiPriority w:val="0"/>
    <w:pPr>
      <w:spacing w:before="0" w:beforeAutospacing="0" w:after="120" w:afterAutospacing="0"/>
      <w:ind w:left="420" w:leftChars="200" w:right="0"/>
      <w:jc w:val="left"/>
    </w:pPr>
    <w:rPr>
      <w:rFonts w:hint="eastAsia" w:ascii="宋体" w:hAnsi="宋体" w:eastAsia="宋体" w:cs="宋体"/>
      <w:kern w:val="0"/>
      <w:sz w:val="24"/>
      <w:szCs w:val="24"/>
      <w:lang w:val="en-US" w:eastAsia="zh-CN" w:bidi="ar"/>
    </w:rPr>
  </w:style>
  <w:style w:type="paragraph" w:styleId="10">
    <w:name w:val="toc 5"/>
    <w:basedOn w:val="1"/>
    <w:next w:val="1"/>
    <w:qFormat/>
    <w:uiPriority w:val="0"/>
    <w:pPr>
      <w:ind w:left="840"/>
      <w:jc w:val="left"/>
    </w:pPr>
    <w:rPr>
      <w:sz w:val="20"/>
      <w:szCs w:val="20"/>
    </w:rPr>
  </w:style>
  <w:style w:type="paragraph" w:styleId="11">
    <w:name w:val="toc 3"/>
    <w:basedOn w:val="1"/>
    <w:next w:val="1"/>
    <w:qFormat/>
    <w:uiPriority w:val="0"/>
    <w:pPr>
      <w:adjustRightInd w:val="0"/>
      <w:snapToGrid w:val="0"/>
      <w:spacing w:line="360" w:lineRule="auto"/>
      <w:ind w:firstLine="400" w:firstLineChars="400"/>
      <w:jc w:val="left"/>
    </w:pPr>
    <w:rPr>
      <w:sz w:val="24"/>
      <w:szCs w:val="20"/>
    </w:rPr>
  </w:style>
  <w:style w:type="paragraph" w:styleId="12">
    <w:name w:val="toc 8"/>
    <w:basedOn w:val="1"/>
    <w:next w:val="1"/>
    <w:qFormat/>
    <w:uiPriority w:val="0"/>
    <w:pPr>
      <w:ind w:left="1470"/>
      <w:jc w:val="left"/>
    </w:pPr>
    <w:rPr>
      <w:sz w:val="20"/>
      <w:szCs w:val="20"/>
    </w:rPr>
  </w:style>
  <w:style w:type="paragraph" w:styleId="13">
    <w:name w:val="footer"/>
    <w:basedOn w:val="1"/>
    <w:link w:val="30"/>
    <w:qFormat/>
    <w:uiPriority w:val="0"/>
    <w:pPr>
      <w:tabs>
        <w:tab w:val="center" w:pos="4153"/>
        <w:tab w:val="right" w:pos="8306"/>
      </w:tabs>
      <w:snapToGrid w:val="0"/>
      <w:jc w:val="left"/>
    </w:pPr>
    <w:rPr>
      <w:sz w:val="18"/>
      <w:szCs w:val="18"/>
    </w:rPr>
  </w:style>
  <w:style w:type="paragraph" w:styleId="14">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5">
    <w:name w:val="toc 1"/>
    <w:basedOn w:val="1"/>
    <w:next w:val="1"/>
    <w:qFormat/>
    <w:uiPriority w:val="0"/>
    <w:pPr>
      <w:adjustRightInd w:val="0"/>
      <w:snapToGrid w:val="0"/>
      <w:spacing w:line="360" w:lineRule="auto"/>
      <w:jc w:val="left"/>
    </w:pPr>
    <w:rPr>
      <w:b/>
      <w:bCs/>
      <w:sz w:val="24"/>
      <w:szCs w:val="20"/>
    </w:rPr>
  </w:style>
  <w:style w:type="paragraph" w:styleId="16">
    <w:name w:val="toc 4"/>
    <w:basedOn w:val="1"/>
    <w:next w:val="1"/>
    <w:qFormat/>
    <w:uiPriority w:val="0"/>
    <w:pPr>
      <w:ind w:left="630"/>
      <w:jc w:val="left"/>
    </w:pPr>
    <w:rPr>
      <w:sz w:val="20"/>
      <w:szCs w:val="20"/>
    </w:rPr>
  </w:style>
  <w:style w:type="paragraph" w:styleId="17">
    <w:name w:val="toc 6"/>
    <w:basedOn w:val="1"/>
    <w:next w:val="1"/>
    <w:qFormat/>
    <w:uiPriority w:val="0"/>
    <w:pPr>
      <w:ind w:left="1050"/>
      <w:jc w:val="left"/>
    </w:pPr>
    <w:rPr>
      <w:sz w:val="20"/>
      <w:szCs w:val="20"/>
    </w:rPr>
  </w:style>
  <w:style w:type="paragraph" w:styleId="18">
    <w:name w:val="toc 2"/>
    <w:basedOn w:val="1"/>
    <w:next w:val="1"/>
    <w:qFormat/>
    <w:uiPriority w:val="0"/>
    <w:pPr>
      <w:adjustRightInd w:val="0"/>
      <w:snapToGrid w:val="0"/>
      <w:spacing w:line="360" w:lineRule="auto"/>
      <w:ind w:firstLine="200" w:firstLineChars="200"/>
      <w:jc w:val="left"/>
    </w:pPr>
    <w:rPr>
      <w:iCs/>
      <w:sz w:val="24"/>
      <w:szCs w:val="20"/>
    </w:rPr>
  </w:style>
  <w:style w:type="paragraph" w:styleId="19">
    <w:name w:val="toc 9"/>
    <w:basedOn w:val="1"/>
    <w:next w:val="1"/>
    <w:qFormat/>
    <w:uiPriority w:val="0"/>
    <w:pPr>
      <w:ind w:left="1680"/>
      <w:jc w:val="left"/>
    </w:pPr>
    <w:rPr>
      <w:sz w:val="20"/>
      <w:szCs w:val="20"/>
    </w:rPr>
  </w:style>
  <w:style w:type="paragraph" w:styleId="20">
    <w:name w:val="Normal (Web)"/>
    <w:basedOn w:val="1"/>
    <w:semiHidden/>
    <w:unhideWhenUsed/>
    <w:qFormat/>
    <w:uiPriority w:val="0"/>
    <w:pPr>
      <w:spacing w:before="0" w:beforeAutospacing="1" w:after="0" w:afterAutospacing="1"/>
      <w:ind w:left="0" w:right="0"/>
      <w:jc w:val="left"/>
    </w:pPr>
    <w:rPr>
      <w:kern w:val="0"/>
      <w:sz w:val="24"/>
      <w:lang w:val="en-US" w:eastAsia="zh-CN" w:bidi="ar"/>
    </w:rPr>
  </w:style>
  <w:style w:type="paragraph" w:styleId="21">
    <w:name w:val="Body Text First Indent 2"/>
    <w:basedOn w:val="9"/>
    <w:qFormat/>
    <w:uiPriority w:val="0"/>
    <w:pPr>
      <w:spacing w:before="0" w:beforeAutospacing="0" w:after="120" w:afterAutospacing="0"/>
      <w:ind w:left="420" w:leftChars="200" w:right="0" w:firstLine="420"/>
      <w:jc w:val="left"/>
    </w:pPr>
    <w:rPr>
      <w:rFonts w:hint="eastAsia" w:ascii="宋体" w:hAnsi="宋体" w:eastAsia="宋体" w:cs="宋体"/>
      <w:kern w:val="0"/>
      <w:sz w:val="24"/>
      <w:szCs w:val="24"/>
      <w:lang w:val="en-US" w:eastAsia="zh-CN" w:bidi="ar"/>
    </w:rPr>
  </w:style>
  <w:style w:type="character" w:styleId="24">
    <w:name w:val="page number"/>
    <w:basedOn w:val="23"/>
    <w:qFormat/>
    <w:uiPriority w:val="0"/>
  </w:style>
  <w:style w:type="character" w:styleId="25">
    <w:name w:val="Hyperlink"/>
    <w:basedOn w:val="23"/>
    <w:qFormat/>
    <w:uiPriority w:val="0"/>
    <w:rPr>
      <w:color w:val="0000FF"/>
      <w:u w:val="single"/>
    </w:rPr>
  </w:style>
  <w:style w:type="character" w:styleId="26">
    <w:name w:val="annotation reference"/>
    <w:basedOn w:val="23"/>
    <w:semiHidden/>
    <w:unhideWhenUsed/>
    <w:qFormat/>
    <w:uiPriority w:val="0"/>
    <w:rPr>
      <w:sz w:val="21"/>
      <w:szCs w:val="21"/>
    </w:rPr>
  </w:style>
  <w:style w:type="character" w:customStyle="1" w:styleId="27">
    <w:name w:val="标题 4 字符"/>
    <w:basedOn w:val="23"/>
    <w:link w:val="5"/>
    <w:qFormat/>
    <w:uiPriority w:val="0"/>
    <w:rPr>
      <w:rFonts w:ascii="Cambria" w:hAnsi="Cambria"/>
      <w:b/>
      <w:bCs/>
      <w:kern w:val="2"/>
      <w:sz w:val="28"/>
      <w:szCs w:val="28"/>
    </w:rPr>
  </w:style>
  <w:style w:type="paragraph" w:styleId="28">
    <w:name w:val="No Spacing"/>
    <w:link w:val="29"/>
    <w:qFormat/>
    <w:uiPriority w:val="0"/>
    <w:pPr>
      <w:ind w:firstLine="200" w:firstLineChars="200"/>
    </w:pPr>
    <w:rPr>
      <w:rFonts w:ascii="Times New Roman" w:hAnsi="Times New Roman" w:eastAsia="仿宋_GB2312" w:cs="Times New Roman"/>
      <w:sz w:val="30"/>
      <w:szCs w:val="22"/>
      <w:lang w:val="en-US" w:eastAsia="zh-CN" w:bidi="ar-SA"/>
    </w:rPr>
  </w:style>
  <w:style w:type="character" w:customStyle="1" w:styleId="29">
    <w:name w:val="无间隔 字符"/>
    <w:link w:val="28"/>
    <w:qFormat/>
    <w:locked/>
    <w:uiPriority w:val="0"/>
    <w:rPr>
      <w:rFonts w:eastAsia="仿宋_GB2312"/>
      <w:sz w:val="30"/>
      <w:szCs w:val="22"/>
      <w:lang w:bidi="ar-SA"/>
    </w:rPr>
  </w:style>
  <w:style w:type="character" w:customStyle="1" w:styleId="30">
    <w:name w:val="页脚 字符"/>
    <w:basedOn w:val="23"/>
    <w:link w:val="13"/>
    <w:qFormat/>
    <w:uiPriority w:val="0"/>
    <w:rPr>
      <w:kern w:val="2"/>
      <w:sz w:val="18"/>
      <w:szCs w:val="18"/>
    </w:rPr>
  </w:style>
  <w:style w:type="paragraph" w:styleId="31">
    <w:name w:val="List Paragraph"/>
    <w:basedOn w:val="1"/>
    <w:qFormat/>
    <w:uiPriority w:val="0"/>
    <w:pPr>
      <w:ind w:firstLine="420" w:firstLineChars="200"/>
    </w:pPr>
  </w:style>
  <w:style w:type="character" w:customStyle="1" w:styleId="32">
    <w:name w:val="标题 3 字符"/>
    <w:basedOn w:val="23"/>
    <w:link w:val="4"/>
    <w:qFormat/>
    <w:uiPriority w:val="0"/>
    <w:rPr>
      <w:b/>
      <w:bCs/>
      <w:kern w:val="2"/>
      <w:sz w:val="32"/>
      <w:szCs w:val="32"/>
    </w:rPr>
  </w:style>
  <w:style w:type="paragraph" w:customStyle="1" w:styleId="33">
    <w:name w:val="MsoNormal"/>
    <w:basedOn w:val="1"/>
    <w:qFormat/>
    <w:uiPriority w:val="0"/>
  </w:style>
</w:styles>
</file>

<file path=word/_rels/document.xml.rels><?xml version="1.0" encoding="UTF-8" standalone="yes"?>
<Relationships xmlns="http://schemas.openxmlformats.org/package/2006/relationships"><Relationship Id="rId9" Type="http://schemas.openxmlformats.org/officeDocument/2006/relationships/customXml" Target="../customXml/item2.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contractReview xmlns="http://schemas.wps.cn/vas-ai-hub/contract-review">
  <reviewItems>
    <reviewItem>
      <errorID>03007ddc-fc19-4da5-8b58-a42fa94445f0</errorID>
      <errorWord>见</errorWord>
      <group>L1_Word</group>
      <groupName>字词问题</groupName>
      <ability>L2_Typo</ability>
      <abilityName>字词错误</abilityName>
      <candidateList>
        <item>见下</item>
      </candidateList>
      <explain/>
      <paraID>49A05004</paraID>
      <start>38</start>
      <end>39</end>
      <status>unmodified</status>
      <modifiedWord/>
      <trackRevisions>false</trackRevisions>
    </reviewItem>
    <reviewItem>
      <errorID>bc9a5590-7a76-4e3b-8f25-f0293ddef15d</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7CBB1511</paraID>
      <start>0</start>
      <end>2</end>
      <status>unmodified</status>
      <modifiedWord/>
      <trackRevisions>false</trackRevisions>
    </reviewItem>
    <reviewItem>
      <errorID>99d8e5fa-c170-4c4f-823f-84b78c3de6e0</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1465A92C</paraID>
      <start>0</start>
      <end>2</end>
      <status>unmodified</status>
      <modifiedWord/>
      <trackRevisions>false</trackRevisions>
    </reviewItem>
    <reviewItem>
      <errorID>98cf8ee9-0c99-4c25-a62d-7caefc347e28</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C72EA</paraID>
      <start>0</start>
      <end>2</end>
      <status>unmodified</status>
      <modifiedWord/>
      <trackRevisions>false</trackRevisions>
    </reviewItem>
    <reviewItem>
      <errorID>fe8e4e2d-7f04-40d3-b9f9-c3e84c58ef31</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4358C93A</paraID>
      <start>0</start>
      <end>2</end>
      <status>unmodified</status>
      <modifiedWord/>
      <trackRevisions>false</trackRevisions>
    </reviewItem>
    <reviewItem>
      <errorID>a48fd514-0e51-4c61-9d8f-b874601b7ce9</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58613547</paraID>
      <start>0</start>
      <end>2</end>
      <status>unmodified</status>
      <modifiedWord/>
      <trackRevisions>false</trackRevisions>
    </reviewItem>
    <reviewItem>
      <errorID>1e78a9d6-1239-4e02-9e1a-732b9c5b359a</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467C5841</paraID>
      <start>0</start>
      <end>2</end>
      <status>unmodified</status>
      <modifiedWord/>
      <trackRevisions>false</trackRevisions>
    </reviewItem>
    <reviewItem>
      <errorID>67bff765-aa8a-4bc1-8f64-5dd841ec3b24</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5BE5BC8E</paraID>
      <start>0</start>
      <end>2</end>
      <status>unmodified</status>
      <modifiedWord/>
      <trackRevisions>false</trackRevisions>
    </reviewItem>
    <reviewItem>
      <errorID>efdb93c4-c837-454d-9c0f-30a160cb6b29</errorID>
      <errorWord>支出费</errorWord>
      <group>L1_Word</group>
      <groupName>字词问题</groupName>
      <ability>L2_Typo</ability>
      <abilityName>字词错误</abilityName>
      <candidateList>
        <item>支出</item>
      </candidateList>
      <explain/>
      <paraID>4DA66B37</paraID>
      <start>191</start>
      <end>194</end>
      <status>unmodified</status>
      <modifiedWord/>
      <trackRevisions>false</trackRevisions>
    </reviewItem>
    <reviewItem>
      <errorID>22a25382-7f35-4257-b6b4-9e73fc303464</errorID>
      <errorWord>。。</errorWord>
      <group>L1_Punc</group>
      <groupName>标点问题</groupName>
      <ability>L2_Punc_CN</ability>
      <abilityName>标点符号问题</abilityName>
      <candidateList>
        <item>。</item>
      </candidateList>
      <explain/>
      <paraID>2EA7C63C</paraID>
      <start>140</start>
      <end>142</end>
      <status>unmodified</status>
      <modifiedWord/>
      <trackRevisions>false</trackRevisions>
    </reviewItem>
    <reviewItem>
      <errorID>25d0184b-1b8d-41e5-9e1d-968eb898100d</errorID>
      <errorWord>”、“</errorWord>
      <group>L1_Punc</group>
      <groupName>标点问题</groupName>
      <ability>L2_Punc_CN</ability>
      <abilityName>标点符号问题</abilityName>
      <candidateList>
        <item>”“</item>
      </candidateList>
      <explain>根据国标GB/T 15834-2011《标点符号用法》中的4.5.3.5节，标有引号的并列成分之间、标有书名号的并列成分之间通常不用顿号。如“《红楼梦》《三国演义》《西游记》《水浒传》，是我国长篇小说的四大名著”。</explain>
      <paraID>391D809D</paraID>
      <start>30</start>
      <end>33</end>
      <status>unmodified</status>
      <modifiedWord/>
      <trackRevisions>false</trackRevisions>
    </reviewItem>
    <reviewItem>
      <errorID>03735bb5-f786-46f0-868e-1ade7e54e6c1</errorID>
      <errorWord>”、“</errorWord>
      <group>L1_Punc</group>
      <groupName>标点问题</groupName>
      <ability>L2_Punc_CN</ability>
      <abilityName>标点符号问题</abilityName>
      <candidateList>
        <item>”“</item>
      </candidateList>
      <explain>根据国标GB/T 15834-2011《标点符号用法》中的4.5.3.5节，标有引号的并列成分之间、标有书名号的并列成分之间通常不用顿号。如“《红楼梦》《三国演义》《西游记》《水浒传》，是我国长篇小说的四大名著”。</explain>
      <paraID>391D809D</paraID>
      <start>104</start>
      <end>107</end>
      <status>unmodified</status>
      <modifiedWord/>
      <trackRevisions>false</trackRevisions>
    </reviewItem>
    <reviewItem>
      <errorID>b4212beb-9bae-4e1f-b48e-3b158005cbc6</errorID>
      <errorWord>(</errorWord>
      <group>L1_Format</group>
      <groupName>格式问题</groupName>
      <ability>L2_HalfPunc_CN</ability>
      <abilityName>全半角问题</abilityName>
      <candidateList>
        <item>（</item>
      </candidateList>
      <explain>文本全半角错误。</explain>
      <paraID>7B5CEFD1</paraID>
      <start>10</start>
      <end>11</end>
      <status>unmodified</status>
      <modifiedWord/>
      <trackRevisions>false</trackRevisions>
    </reviewItem>
    <reviewItem>
      <errorID>e494f8fb-b4e6-4268-a445-26c254eb5777</errorID>
      <errorWord>,</errorWord>
      <group>L1_Format</group>
      <groupName>格式问题</groupName>
      <ability>L2_HalfPunc_CN</ability>
      <abilityName>全半角问题</abilityName>
      <candidateList>
        <item>，</item>
      </candidateList>
      <explain>文本全半角错误。</explain>
      <paraID>3CC784D6</paraID>
      <start>60</start>
      <end>61</end>
      <status>unmodified</status>
      <modifiedWord/>
      <trackRevisions>false</trackRevisions>
    </reviewItem>
    <reviewItem>
      <errorID>12c5bd95-35e3-468a-a9f0-1dc8c8174b34</errorID>
      <errorWord>位</errorWord>
      <group>L1_Word</group>
      <groupName>字词问题</groupName>
      <ability>L2_Typo</ability>
      <abilityName>字词错误</abilityName>
      <candidateList>
        <item>位在</item>
      </candidateList>
      <explain/>
      <paraID>55063969</paraID>
      <start>2</start>
      <end>3</end>
      <status>unmodified</status>
      <modifiedWord/>
      <trackRevisions>false</trackRevisions>
    </reviewItem>
    <reviewItem>
      <errorID>e9eb38f4-ba61-4083-a1a7-7ffc6adf35c4</errorID>
      <errorWord>(</errorWord>
      <group>L1_Format</group>
      <groupName>格式问题</groupName>
      <ability>L2_HalfPunc_CN</ability>
      <abilityName>全半角问题</abilityName>
      <candidateList>
        <item>（</item>
      </candidateList>
      <explain>文本全半角错误。</explain>
      <paraID>55063969</paraID>
      <start>35</start>
      <end>36</end>
      <status>unmodified</status>
      <modifiedWord/>
      <trackRevisions>false</trackRevisions>
    </reviewItem>
    <reviewItem>
      <errorID>57912cf4-cd69-40fe-a244-3d43b7aea607</errorID>
      <errorWord>)</errorWord>
      <group>L1_Format</group>
      <groupName>格式问题</groupName>
      <ability>L2_HalfPunc_CN</ability>
      <abilityName>全半角问题</abilityName>
      <candidateList>
        <item>）</item>
      </candidateList>
      <explain>文本全半角错误。</explain>
      <paraID>55063969</paraID>
      <start>38</start>
      <end>39</end>
      <status>unmodified</status>
      <modifiedWord/>
      <trackRevisions>false</trackRevisions>
    </reviewItem>
    <reviewItem>
      <errorID>e3b678db-717e-4043-a8a9-c5e1288785fd</errorID>
      <errorWord>加强</errorWord>
      <group>L1_Grammar</group>
      <groupName>语法问题</groupName>
      <ability>L2_Grammar</ability>
      <abilityName>语法错误</abilityName>
      <candidateList>
        <item>促进</item>
      </candidateList>
      <explain>“水平～加强”搭配不当，建议修改为“水平～促进”。</explain>
      <paraID> 31597A7</paraID>
      <start>167</start>
      <end>169</end>
      <status>unmodified</status>
      <modifiedWord/>
      <trackRevisions>false</trackRevisions>
    </reviewItem>
    <reviewItem>
      <errorID>f33a978e-6fa2-406c-b3a1-a8332d175c94</errorID>
      <errorWord>(</errorWord>
      <group>L1_Format</group>
      <groupName>格式问题</groupName>
      <ability>L2_HalfPunc_CN</ability>
      <abilityName>全半角问题</abilityName>
      <candidateList>
        <item>（</item>
      </candidateList>
      <explain>文本全半角错误。</explain>
      <paraID>77DBFBF6</paraID>
      <start>10</start>
      <end>11</end>
      <status>unmodified</status>
      <modifiedWord/>
      <trackRevisions>false</trackRevisions>
    </reviewItem>
    <reviewItem>
      <errorID>8159eb00-2b4c-488f-94fb-66afa855b061</errorID>
      <errorWord>加强</errorWord>
      <group>L1_Grammar</group>
      <groupName>语法问题</groupName>
      <ability>L2_Grammar</ability>
      <abilityName>语法错误</abilityName>
      <candidateList>
        <item>促进</item>
      </candidateList>
      <explain>“水平～加强”搭配不当，建议修改为“水平～促进”。</explain>
      <paraID>61C6817A</paraID>
      <start>128</start>
      <end>130</end>
      <status>unmodified</status>
      <modifiedWord/>
      <trackRevisions>false</trackRevisions>
    </reviewItem>
    <reviewItem>
      <errorID>312d46aa-d153-4f8a-9958-ff1eff306f78</errorID>
      <errorWord>管理规范化、制度化、科学化</errorWord>
      <group>L1_Word</group>
      <groupName>字词问题</groupName>
      <ability>L2_Typo</ability>
      <abilityName>字词错误</abilityName>
      <candidateList>
        <item>管理制度化、规范化、科学化</item>
      </candidateList>
      <explain/>
      <paraID>707BA717</paraID>
      <start>9</start>
      <end>22</end>
      <status>unmodified</status>
      <modifiedWord/>
      <trackRevisions>false</trackRevisions>
    </reviewItem>
    <reviewItem>
      <errorID>4213d1c4-24af-4535-8e15-a62c6591b7b3</errorID>
      <errorWord>指在</errorWord>
      <group>L1_Word</group>
      <groupName>字词问题</groupName>
      <ability>L2_Typo</ability>
      <abilityName>字词错误</abilityName>
      <candidateList>
        <item>指</item>
      </candidateList>
      <explain/>
      <paraID>74222BCB</paraID>
      <start>7</start>
      <end>9</end>
      <status>unmodified</status>
      <modifiedWord/>
      <trackRevisions>false</trackRevisions>
    </reviewItem>
    <reviewItem>
      <errorID>8a8341bb-5f8b-43fa-96be-5edc2744c801</errorID>
      <errorWord>)</errorWord>
      <group>L1_Punc</group>
      <groupName>标点问题</groupName>
      <ability>L2_Punc_CN</ability>
      <abilityName>标点符号问题</abilityName>
      <candidateList/>
      <explain>此处标点可能未正确匹配，请检查句子中是否存在标点冗余、缺失或使用错误的情况。</explain>
      <paraID>5ABF69C5</paraID>
      <start>67</start>
      <end>68</end>
      <status>unmodified</status>
      <modifiedWord/>
      <trackRevisions>false</trackRevisions>
    </reviewItem>
    <reviewItem>
      <errorID>cebc05d4-90c8-4987-a926-daea847a1cac</errorID>
      <errorWord>:</errorWord>
      <group>L1_Format</group>
      <groupName>格式问题</groupName>
      <ability>L2_HalfPunc_CN</ability>
      <abilityName>全半角问题</abilityName>
      <candidateList>
        <item>：</item>
      </candidateList>
      <explain>文本全半角错误。</explain>
      <paraID>1B077959</paraID>
      <start>2</start>
      <end>3</end>
      <status>unmodified</status>
      <modifiedWord/>
      <trackRevisions>false</trackRevisions>
    </reviewItem>
  </reviewItems>
  <config/>
</contractReview>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d90bc8c-67cf-49ab-8528-b9e6d4b0a972}">
  <ds:schemaRefs/>
</ds:datastoreItem>
</file>

<file path=docProps/app.xml><?xml version="1.0" encoding="utf-8"?>
<Properties xmlns="http://schemas.openxmlformats.org/officeDocument/2006/extended-properties" xmlns:vt="http://schemas.openxmlformats.org/officeDocument/2006/docPropsVTypes">
  <Template>Normal.dotm</Template>
  <Company>微软中国</Company>
  <Pages>24</Pages>
  <Words>8874</Words>
  <Characters>9967</Characters>
  <Lines>1</Lines>
  <Paragraphs>1</Paragraphs>
  <TotalTime>18</TotalTime>
  <ScaleCrop>false</ScaleCrop>
  <LinksUpToDate>false</LinksUpToDate>
  <CharactersWithSpaces>9996</CharactersWithSpaces>
  <Application>WPS Office_11.1.0.14036_F1E327BC-269C-435d-A152-05C5408002CA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2022-03-24T12:40:00Z</dcterms:created>
  <dc:creator>Administrator</dc:creator>
  <cp:lastModifiedBy>Administrator</cp:lastModifiedBy>
  <cp:lastPrinted>2024-08-20T07:56:00Z</cp:lastPrinted>
  <dcterms:modified xsi:type="dcterms:W3CDTF">2026-08-19T08:18:20Z</dcterms:modified>
  <dc:title>××年度××部门/单位</dc:title>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A562918F40BA4ED68C7D1935F901898C_13</vt:lpwstr>
  </property>
  <property fmtid="{D5CDD505-2E9C-101B-9397-08002B2CF9AE}" pid="4" name="KSOTemplateDocerSaveRecord">
    <vt:lpwstr>eyJoZGlkIjoiZmNmMWJlOTNhYTkwYTM3MzljNGUyODViY2U1ODE5NTIiLCJ1c2VySWQiOiI0NDI4MjE3MDgifQ==</vt:lpwstr>
  </property>
</Properties>
</file>