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0A66C">
      <w:pPr>
        <w:spacing w:line="360" w:lineRule="auto"/>
        <w:jc w:val="center"/>
        <w:rPr>
          <w:rFonts w:ascii="宋体" w:hAnsi="宋体"/>
          <w:sz w:val="24"/>
        </w:rPr>
      </w:pPr>
    </w:p>
    <w:p w14:paraId="45A6BC05">
      <w:pPr>
        <w:spacing w:line="360" w:lineRule="auto"/>
        <w:jc w:val="center"/>
        <w:rPr>
          <w:rFonts w:ascii="宋体" w:hAnsi="宋体"/>
          <w:sz w:val="24"/>
        </w:rPr>
      </w:pPr>
    </w:p>
    <w:p w14:paraId="25754B8F">
      <w:pPr>
        <w:spacing w:line="360" w:lineRule="auto"/>
        <w:jc w:val="center"/>
        <w:rPr>
          <w:rFonts w:ascii="宋体" w:hAnsi="宋体"/>
          <w:sz w:val="24"/>
        </w:rPr>
      </w:pPr>
    </w:p>
    <w:p w14:paraId="46030F92">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sz w:val="24"/>
        </w:rPr>
      </w:pPr>
    </w:p>
    <w:p w14:paraId="23CA24A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2025年度内蒙古大兴安岭森林公安局</w:t>
      </w:r>
    </w:p>
    <w:p w14:paraId="4B181FB2">
      <w:pPr>
        <w:keepNext w:val="0"/>
        <w:keepLines w:val="0"/>
        <w:pageBreakBefore w:val="0"/>
        <w:kinsoku/>
        <w:wordWrap/>
        <w:overflowPunct/>
        <w:topLinePunct w:val="0"/>
        <w:autoSpaceDE/>
        <w:autoSpaceDN/>
        <w:bidi w:val="0"/>
        <w:adjustRightInd/>
        <w:snapToGrid/>
        <w:spacing w:line="360" w:lineRule="auto"/>
        <w:jc w:val="center"/>
        <w:textAlignment w:val="auto"/>
        <w:rPr>
          <w:rFonts w:ascii="方正小标宋简体" w:hAnsi="宋体" w:eastAsia="方正小标宋简体"/>
          <w:b/>
          <w:bCs/>
          <w:sz w:val="44"/>
          <w:szCs w:val="44"/>
        </w:rPr>
      </w:pPr>
      <w:r>
        <w:rPr>
          <w:rFonts w:hint="eastAsia" w:ascii="方正小标宋简体" w:hAnsi="宋体" w:eastAsia="方正小标宋简体"/>
          <w:b/>
          <w:bCs/>
          <w:sz w:val="44"/>
          <w:szCs w:val="44"/>
        </w:rPr>
        <w:t>吉文分局公开报告</w:t>
      </w:r>
    </w:p>
    <w:p w14:paraId="7A13F3AA">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b/>
          <w:bCs/>
          <w:sz w:val="52"/>
          <w:szCs w:val="52"/>
        </w:rPr>
      </w:pPr>
    </w:p>
    <w:p w14:paraId="1386A7E7">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b/>
          <w:bCs/>
          <w:sz w:val="52"/>
          <w:szCs w:val="52"/>
        </w:rPr>
      </w:pPr>
    </w:p>
    <w:p w14:paraId="2DCD25F1">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b/>
          <w:bCs/>
          <w:sz w:val="52"/>
          <w:szCs w:val="52"/>
        </w:rPr>
      </w:pPr>
    </w:p>
    <w:p w14:paraId="025A463B">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b/>
          <w:bCs/>
          <w:sz w:val="52"/>
          <w:szCs w:val="52"/>
        </w:rPr>
      </w:pPr>
    </w:p>
    <w:p w14:paraId="5EA265A3">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b/>
          <w:bCs/>
          <w:sz w:val="52"/>
          <w:szCs w:val="52"/>
        </w:rPr>
      </w:pPr>
    </w:p>
    <w:p w14:paraId="636F227A">
      <w:pPr>
        <w:keepNext w:val="0"/>
        <w:keepLines w:val="0"/>
        <w:pageBreakBefore w:val="0"/>
        <w:kinsoku/>
        <w:wordWrap/>
        <w:overflowPunct/>
        <w:topLinePunct w:val="0"/>
        <w:autoSpaceDE/>
        <w:autoSpaceDN/>
        <w:bidi w:val="0"/>
        <w:adjustRightInd/>
        <w:snapToGrid/>
        <w:ind w:firstLine="2249" w:firstLineChars="700"/>
        <w:jc w:val="both"/>
        <w:textAlignment w:val="auto"/>
        <w:rPr>
          <w:rFonts w:ascii="仿宋" w:hAnsi="仿宋" w:eastAsia="仿宋"/>
          <w:b/>
          <w:sz w:val="32"/>
          <w:szCs w:val="32"/>
        </w:rPr>
        <w:sectPr>
          <w:footerReference r:id="rId3" w:type="default"/>
          <w:pgSz w:w="11906" w:h="16838"/>
          <w:pgMar w:top="1440" w:right="1800" w:bottom="1440" w:left="1800" w:header="0" w:footer="720" w:gutter="0"/>
          <w:cols w:space="425" w:num="1"/>
          <w:docGrid w:type="lines" w:linePitch="312" w:charSpace="0"/>
        </w:sectPr>
      </w:pPr>
    </w:p>
    <w:p w14:paraId="1C9A9517">
      <w:pPr>
        <w:pStyle w:val="29"/>
        <w:widowControl/>
        <w:spacing w:after="240"/>
        <w:jc w:val="center"/>
        <w:rPr>
          <w:rFonts w:ascii="Times New Roman" w:hAnsi="Times New Roman" w:eastAsia="Times New Roman" w:cs="Times New Roman"/>
          <w:kern w:val="0"/>
          <w:sz w:val="24"/>
        </w:rPr>
      </w:pPr>
      <w:bookmarkStart w:id="0" w:name="a000"/>
      <w:r>
        <w:rPr>
          <w:rFonts w:ascii="仿宋" w:hAnsi="仿宋" w:eastAsia="仿宋" w:cs="仿宋"/>
          <w:b/>
          <w:bCs/>
          <w:kern w:val="0"/>
          <w:sz w:val="48"/>
          <w:szCs w:val="48"/>
        </w:rPr>
        <w:t>目录</w:t>
      </w:r>
    </w:p>
    <w:p w14:paraId="709AAE96">
      <w:pPr>
        <w:widowControl/>
        <w:spacing w:before="240" w:after="240"/>
        <w:jc w:val="left"/>
        <w:rPr>
          <w:rFonts w:ascii="Times New Roman" w:hAnsi="Times New Roman" w:eastAsia="Times New Roman" w:cs="Times New Roman"/>
          <w:kern w:val="0"/>
          <w:sz w:val="24"/>
        </w:rPr>
      </w:pPr>
    </w:p>
    <w:p w14:paraId="0C13A94D">
      <w:pPr>
        <w:pStyle w:val="29"/>
        <w:widowControl/>
        <w:spacing w:before="240" w:after="240" w:line="360" w:lineRule="auto"/>
        <w:jc w:val="left"/>
        <w:rPr>
          <w:rFonts w:ascii="Times New Roman" w:hAnsi="Times New Roman" w:eastAsia="Times New Roman" w:cs="Times New Roman"/>
          <w:kern w:val="0"/>
          <w:sz w:val="24"/>
        </w:rPr>
      </w:pPr>
      <w:r>
        <w:rPr>
          <w:rFonts w:ascii="黑体" w:hAnsi="黑体" w:eastAsia="黑体" w:cs="黑体"/>
          <w:kern w:val="0"/>
          <w:sz w:val="32"/>
          <w:szCs w:val="32"/>
        </w:rPr>
        <w:t>第一部分</w:t>
      </w:r>
      <w:r>
        <w:rPr>
          <w:rFonts w:hint="eastAsia" w:ascii="黑体" w:hAnsi="黑体" w:eastAsia="黑体" w:cs="黑体"/>
          <w:kern w:val="0"/>
          <w:sz w:val="32"/>
          <w:szCs w:val="32"/>
          <w:lang w:val="en-US" w:eastAsia="zh-CN"/>
        </w:rPr>
        <w:t xml:space="preserve"> </w:t>
      </w:r>
      <w:r>
        <w:rPr>
          <w:rFonts w:ascii="黑体" w:hAnsi="黑体" w:eastAsia="黑体" w:cs="黑体"/>
          <w:kern w:val="0"/>
          <w:sz w:val="32"/>
          <w:szCs w:val="32"/>
        </w:rPr>
        <w:t>单位概况</w:t>
      </w:r>
      <w:bookmarkStart w:id="1" w:name="_GoBack"/>
      <w:bookmarkEnd w:id="1"/>
    </w:p>
    <w:p w14:paraId="2CE9EA8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一、主要职能、职责</w:t>
      </w:r>
    </w:p>
    <w:p w14:paraId="2DB09FC5">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二、单位机构设置及决算单位构成情况</w:t>
      </w:r>
    </w:p>
    <w:p w14:paraId="37E717CE">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三、</w:t>
      </w:r>
      <w:r>
        <w:rPr>
          <w:rFonts w:eastAsia="Times New Roman"/>
          <w:kern w:val="0"/>
          <w:sz w:val="32"/>
          <w:szCs w:val="32"/>
          <w:lang w:eastAsia="en-US"/>
        </w:rPr>
        <w:t>2025</w:t>
      </w:r>
      <w:r>
        <w:rPr>
          <w:rFonts w:ascii="仿宋" w:hAnsi="仿宋" w:eastAsia="仿宋" w:cs="仿宋"/>
          <w:kern w:val="0"/>
          <w:sz w:val="32"/>
          <w:szCs w:val="32"/>
        </w:rPr>
        <w:t>年度单位主要工作完成情况</w:t>
      </w:r>
    </w:p>
    <w:p w14:paraId="677F2A83">
      <w:pPr>
        <w:pStyle w:val="29"/>
        <w:widowControl/>
        <w:spacing w:before="240" w:after="240" w:line="360" w:lineRule="auto"/>
        <w:jc w:val="left"/>
        <w:rPr>
          <w:rFonts w:ascii="Times New Roman" w:hAnsi="Times New Roman" w:eastAsia="Times New Roman" w:cs="Times New Roman"/>
          <w:kern w:val="0"/>
          <w:sz w:val="24"/>
        </w:rPr>
      </w:pPr>
      <w:r>
        <w:rPr>
          <w:rFonts w:ascii="黑体" w:hAnsi="黑体" w:eastAsia="黑体" w:cs="黑体"/>
          <w:kern w:val="0"/>
          <w:sz w:val="32"/>
          <w:szCs w:val="32"/>
        </w:rPr>
        <w:t>第二部分</w:t>
      </w:r>
      <w:r>
        <w:rPr>
          <w:rFonts w:ascii="黑体" w:hAnsi="黑体" w:eastAsia="黑体" w:cs="黑体"/>
          <w:kern w:val="0"/>
          <w:sz w:val="32"/>
          <w:szCs w:val="32"/>
          <w:lang w:eastAsia="en-US"/>
        </w:rPr>
        <w:t xml:space="preserve"> </w:t>
      </w:r>
      <w:r>
        <w:rPr>
          <w:rFonts w:ascii="黑体" w:hAnsi="黑体" w:eastAsia="黑体" w:cs="黑体"/>
          <w:kern w:val="0"/>
          <w:sz w:val="32"/>
          <w:szCs w:val="32"/>
        </w:rPr>
        <w:t>单位决算情况说明</w:t>
      </w:r>
    </w:p>
    <w:p w14:paraId="71117AB9">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一、收入支出决算总体情况说明</w:t>
      </w:r>
    </w:p>
    <w:p w14:paraId="4743F24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二、收入决算情况说明</w:t>
      </w:r>
    </w:p>
    <w:p w14:paraId="5FBECE8F">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三、支出决算情况说明</w:t>
      </w:r>
    </w:p>
    <w:p w14:paraId="58F8FD55">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四、财政拨款收入支出决算总体情况说明</w:t>
      </w:r>
    </w:p>
    <w:p w14:paraId="40662613">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五、一般公共预算财政拨款支出决算情况说明</w:t>
      </w:r>
    </w:p>
    <w:p w14:paraId="456E2000">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六、一般公共预算财政拨款基本支出决算情况说明</w:t>
      </w:r>
    </w:p>
    <w:p w14:paraId="2EEB7343">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七、一般公共预算财政拨款项目支出决算情况说明</w:t>
      </w:r>
    </w:p>
    <w:p w14:paraId="36A98AB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八、财政拨款“三公”经费支出决算情况说明</w:t>
      </w:r>
    </w:p>
    <w:p w14:paraId="3EB89FF7">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九、政府性基金预算财政拨款支出决算情况说明</w:t>
      </w:r>
    </w:p>
    <w:p w14:paraId="179A2B1D">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十、国有资本经营预算财政拨款支出决算情况说明</w:t>
      </w:r>
    </w:p>
    <w:p w14:paraId="2619E52E">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十一、机关运行经费（公用经费）支出决算情况说明</w:t>
      </w:r>
    </w:p>
    <w:p w14:paraId="4A0678F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十二、政府采购支出决算情况说明</w:t>
      </w:r>
    </w:p>
    <w:p w14:paraId="6F4F743F">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十三、国有资产占用情况说明</w:t>
      </w:r>
    </w:p>
    <w:p w14:paraId="0A235B16">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十四、预算绩效情况说明</w:t>
      </w:r>
    </w:p>
    <w:p w14:paraId="7B6E43D5">
      <w:pPr>
        <w:pStyle w:val="29"/>
        <w:widowControl/>
        <w:spacing w:before="240" w:after="240" w:line="360" w:lineRule="auto"/>
        <w:jc w:val="left"/>
        <w:rPr>
          <w:rFonts w:ascii="Times New Roman" w:hAnsi="Times New Roman" w:eastAsia="Times New Roman" w:cs="Times New Roman"/>
          <w:kern w:val="0"/>
          <w:sz w:val="24"/>
        </w:rPr>
      </w:pPr>
      <w:r>
        <w:rPr>
          <w:rFonts w:ascii="黑体" w:hAnsi="黑体" w:eastAsia="黑体" w:cs="黑体"/>
          <w:kern w:val="0"/>
          <w:sz w:val="32"/>
          <w:szCs w:val="32"/>
        </w:rPr>
        <w:t>第三部分</w:t>
      </w:r>
      <w:r>
        <w:rPr>
          <w:rFonts w:ascii="黑体" w:hAnsi="黑体" w:eastAsia="黑体" w:cs="黑体"/>
          <w:kern w:val="0"/>
          <w:sz w:val="32"/>
          <w:szCs w:val="32"/>
          <w:lang w:eastAsia="en-US"/>
        </w:rPr>
        <w:t xml:space="preserve"> </w:t>
      </w:r>
      <w:r>
        <w:rPr>
          <w:rFonts w:ascii="黑体" w:hAnsi="黑体" w:eastAsia="黑体" w:cs="黑体"/>
          <w:kern w:val="0"/>
          <w:sz w:val="32"/>
          <w:szCs w:val="32"/>
        </w:rPr>
        <w:t>名词解释</w:t>
      </w:r>
    </w:p>
    <w:p w14:paraId="148FD8AE">
      <w:pPr>
        <w:pStyle w:val="29"/>
        <w:widowControl/>
        <w:spacing w:before="240" w:after="240" w:line="360" w:lineRule="auto"/>
        <w:jc w:val="left"/>
        <w:rPr>
          <w:rFonts w:ascii="Times New Roman" w:hAnsi="Times New Roman" w:eastAsia="Times New Roman" w:cs="Times New Roman"/>
          <w:kern w:val="0"/>
          <w:sz w:val="24"/>
        </w:rPr>
      </w:pPr>
      <w:r>
        <w:rPr>
          <w:rFonts w:ascii="黑体" w:hAnsi="黑体" w:eastAsia="黑体" w:cs="黑体"/>
          <w:kern w:val="0"/>
          <w:sz w:val="32"/>
          <w:szCs w:val="32"/>
        </w:rPr>
        <w:t>第四部分</w:t>
      </w:r>
      <w:r>
        <w:rPr>
          <w:rFonts w:ascii="黑体" w:hAnsi="黑体" w:eastAsia="黑体" w:cs="黑体"/>
          <w:kern w:val="0"/>
          <w:sz w:val="32"/>
          <w:szCs w:val="32"/>
          <w:lang w:eastAsia="en-US"/>
        </w:rPr>
        <w:t xml:space="preserve"> </w:t>
      </w:r>
      <w:r>
        <w:rPr>
          <w:rFonts w:ascii="黑体" w:hAnsi="黑体" w:eastAsia="黑体" w:cs="黑体"/>
          <w:kern w:val="0"/>
          <w:sz w:val="32"/>
          <w:szCs w:val="32"/>
        </w:rPr>
        <w:t>决算公开联系方式及信息反馈渠道</w:t>
      </w:r>
    </w:p>
    <w:p w14:paraId="7FC0D780">
      <w:pPr>
        <w:pStyle w:val="29"/>
        <w:widowControl/>
        <w:spacing w:before="240" w:after="240" w:line="360" w:lineRule="auto"/>
        <w:jc w:val="left"/>
        <w:rPr>
          <w:rFonts w:ascii="Times New Roman" w:hAnsi="Times New Roman" w:eastAsia="Times New Roman" w:cs="Times New Roman"/>
          <w:kern w:val="0"/>
          <w:sz w:val="24"/>
        </w:rPr>
      </w:pPr>
      <w:r>
        <w:rPr>
          <w:rFonts w:ascii="黑体" w:hAnsi="黑体" w:eastAsia="黑体" w:cs="黑体"/>
          <w:kern w:val="0"/>
          <w:sz w:val="32"/>
          <w:szCs w:val="32"/>
        </w:rPr>
        <w:t>第五部分</w:t>
      </w:r>
      <w:r>
        <w:rPr>
          <w:rFonts w:ascii="黑体" w:hAnsi="黑体" w:eastAsia="黑体" w:cs="黑体"/>
          <w:kern w:val="0"/>
          <w:sz w:val="32"/>
          <w:szCs w:val="32"/>
          <w:lang w:eastAsia="en-US"/>
        </w:rPr>
        <w:t xml:space="preserve"> </w:t>
      </w:r>
      <w:r>
        <w:rPr>
          <w:rFonts w:ascii="黑体" w:hAnsi="黑体" w:eastAsia="黑体" w:cs="黑体"/>
          <w:kern w:val="0"/>
          <w:sz w:val="32"/>
          <w:szCs w:val="32"/>
        </w:rPr>
        <w:t>单位决算表</w:t>
      </w:r>
    </w:p>
    <w:p w14:paraId="20F30016">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一、收入支出决算总表</w:t>
      </w:r>
    </w:p>
    <w:p w14:paraId="5C73B514">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二、收入决算表</w:t>
      </w:r>
    </w:p>
    <w:p w14:paraId="56E12D3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三、支出决算表</w:t>
      </w:r>
    </w:p>
    <w:p w14:paraId="76D27B98">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四、财政拨款收入支出决算总表</w:t>
      </w:r>
    </w:p>
    <w:p w14:paraId="273AEF4B">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五、一般公共预算财政拨款支出决算表</w:t>
      </w:r>
    </w:p>
    <w:p w14:paraId="6C19BCD3">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六、一般公共预算财政拨款基本支出决算明细表</w:t>
      </w:r>
    </w:p>
    <w:p w14:paraId="1DC27013">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七、一般公共预算财政拨款项目支出决算明细表</w:t>
      </w:r>
    </w:p>
    <w:p w14:paraId="72740A02">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八、政府性基金预算财政拨款收入支出决算表</w:t>
      </w:r>
    </w:p>
    <w:p w14:paraId="19896F3A">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九、国有资本经营预算财政拨款收入支出决算表</w:t>
      </w:r>
    </w:p>
    <w:p w14:paraId="63BBD807">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十、财政拨款“三公”经费支出决算表</w:t>
      </w:r>
    </w:p>
    <w:p w14:paraId="2A5D0415">
      <w:pPr>
        <w:pStyle w:val="29"/>
        <w:widowControl/>
        <w:spacing w:before="240" w:after="240" w:line="360" w:lineRule="auto"/>
        <w:jc w:val="left"/>
        <w:rPr>
          <w:rFonts w:ascii="Times New Roman" w:hAnsi="Times New Roman" w:eastAsia="Times New Roman" w:cs="Times New Roman"/>
          <w:kern w:val="0"/>
          <w:sz w:val="24"/>
        </w:rPr>
      </w:pPr>
      <w:r>
        <w:rPr>
          <w:rFonts w:ascii="仿宋" w:hAnsi="仿宋" w:eastAsia="仿宋" w:cs="仿宋"/>
          <w:kern w:val="0"/>
          <w:sz w:val="32"/>
          <w:szCs w:val="32"/>
        </w:rPr>
        <w:t>十一、机关运行经费支出、国有资产占用情况及政府采购支出信息表</w:t>
      </w:r>
    </w:p>
    <w:p w14:paraId="60B58C1D">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59204E08">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5E311B25">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7DB60BE4">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405844CA">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66CF4266">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571A73D7">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362AD485">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653CB885">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5D1FF090">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1FADD317">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2BB4DD5B">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66298D8F">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1420E7E3">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042DA6CC">
      <w:pPr>
        <w:keepNext w:val="0"/>
        <w:keepLines w:val="0"/>
        <w:pageBreakBefore w:val="0"/>
        <w:kinsoku/>
        <w:wordWrap/>
        <w:overflowPunct/>
        <w:topLinePunct w:val="0"/>
        <w:autoSpaceDE/>
        <w:autoSpaceDN/>
        <w:bidi w:val="0"/>
        <w:adjustRightInd/>
        <w:snapToGrid/>
        <w:jc w:val="both"/>
        <w:textAlignment w:val="auto"/>
      </w:pPr>
    </w:p>
    <w:p w14:paraId="2B0C2C36">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6CE4006E">
      <w:pPr>
        <w:pStyle w:val="3"/>
        <w:keepNext w:val="0"/>
        <w:keepLines w:val="0"/>
        <w:pageBreakBefore w:val="0"/>
        <w:widowControl/>
        <w:kinsoku/>
        <w:wordWrap/>
        <w:overflowPunct/>
        <w:topLinePunct w:val="0"/>
        <w:autoSpaceDE/>
        <w:autoSpaceDN/>
        <w:bidi w:val="0"/>
        <w:adjustRightInd/>
        <w:snapToGrid/>
        <w:spacing w:before="0" w:after="0" w:line="360" w:lineRule="auto"/>
        <w:jc w:val="both"/>
        <w:textAlignment w:val="auto"/>
        <w:rPr>
          <w:rFonts w:ascii="方正小标宋简体" w:hAnsi="方正小标宋简体" w:eastAsia="方正小标宋简体" w:cs="方正小标宋简体"/>
          <w:b w:val="0"/>
          <w:bCs w:val="0"/>
          <w:kern w:val="0"/>
          <w:sz w:val="36"/>
          <w:szCs w:val="36"/>
        </w:rPr>
      </w:pPr>
    </w:p>
    <w:p w14:paraId="1E253FA3">
      <w:pPr>
        <w:pStyle w:val="3"/>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rFonts w:ascii="Times New Roman" w:hAnsi="Times New Roman" w:eastAsia="Times New Roman"/>
          <w:b/>
          <w:bCs/>
          <w:kern w:val="0"/>
          <w:sz w:val="44"/>
          <w:szCs w:val="44"/>
        </w:rPr>
      </w:pPr>
      <w:r>
        <w:rPr>
          <w:rFonts w:ascii="方正小标宋简体" w:hAnsi="方正小标宋简体" w:eastAsia="方正小标宋简体" w:cs="方正小标宋简体"/>
          <w:b/>
          <w:bCs/>
          <w:kern w:val="0"/>
          <w:sz w:val="44"/>
          <w:szCs w:val="44"/>
        </w:rPr>
        <w:t>第一部分</w:t>
      </w:r>
      <w:r>
        <w:rPr>
          <w:rFonts w:hint="eastAsia" w:ascii="方正小标宋简体" w:hAnsi="方正小标宋简体" w:eastAsia="方正小标宋简体" w:cs="方正小标宋简体"/>
          <w:b/>
          <w:bCs/>
          <w:kern w:val="0"/>
          <w:sz w:val="44"/>
          <w:szCs w:val="44"/>
          <w:lang w:val="en-US" w:eastAsia="zh-CN"/>
        </w:rPr>
        <w:t xml:space="preserve"> </w:t>
      </w:r>
      <w:r>
        <w:rPr>
          <w:rFonts w:ascii="方正小标宋简体" w:hAnsi="方正小标宋简体" w:eastAsia="方正小标宋简体" w:cs="方正小标宋简体"/>
          <w:b/>
          <w:bCs/>
          <w:kern w:val="0"/>
          <w:sz w:val="44"/>
          <w:szCs w:val="44"/>
        </w:rPr>
        <w:t>单位概况</w:t>
      </w:r>
    </w:p>
    <w:p w14:paraId="27FE785D">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cs="黑体"/>
          <w:bCs/>
          <w:kern w:val="0"/>
          <w:sz w:val="32"/>
          <w:szCs w:val="32"/>
        </w:rPr>
      </w:pPr>
      <w:r>
        <w:rPr>
          <w:rFonts w:ascii="黑体" w:hAnsi="黑体" w:eastAsia="黑体" w:cs="黑体"/>
          <w:bCs/>
          <w:kern w:val="0"/>
          <w:sz w:val="32"/>
          <w:szCs w:val="32"/>
        </w:rPr>
        <w:t>一、主要职能、职责</w:t>
      </w:r>
    </w:p>
    <w:p w14:paraId="249EEEB0">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eastAsia="仿宋_GB2312"/>
          <w:kern w:val="76"/>
          <w:sz w:val="32"/>
          <w:szCs w:val="32"/>
        </w:rPr>
        <w:t>主要职能，</w:t>
      </w:r>
      <w:r>
        <w:rPr>
          <w:rFonts w:eastAsia="仿宋_GB2312"/>
          <w:kern w:val="76"/>
          <w:sz w:val="32"/>
          <w:szCs w:val="32"/>
          <w:shd w:val="clear" w:color="auto" w:fill="FFFFFF"/>
        </w:rPr>
        <w:t>内蒙古大兴安岭森林公安局吉文分局系政法机关，由内蒙古大兴安岭森林公安局管理，根据国家有关法律、森林公安工作的方针、政策和内蒙古大兴安岭森林公安局的部署，负责本辖区森林及野生动植物资源保护、维护辖区政治稳定和社会治安秩序。单位所在地吉文镇，单位性质行政单位，执行行政单位会计制度。</w:t>
      </w:r>
    </w:p>
    <w:p w14:paraId="0D6FA63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二、单位机构设置及决算单位构成情况</w:t>
      </w:r>
    </w:p>
    <w:p w14:paraId="72347ADA">
      <w:pPr>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76"/>
          <w:sz w:val="32"/>
          <w:szCs w:val="32"/>
          <w:highlight w:val="none"/>
        </w:rPr>
      </w:pPr>
      <w:r>
        <w:rPr>
          <w:rFonts w:eastAsia="Times New Roman"/>
          <w:kern w:val="0"/>
          <w:sz w:val="32"/>
          <w:szCs w:val="32"/>
        </w:rPr>
        <w:t>1</w:t>
      </w:r>
      <w:r>
        <w:rPr>
          <w:rFonts w:eastAsia="仿宋"/>
          <w:kern w:val="0"/>
          <w:sz w:val="32"/>
          <w:szCs w:val="32"/>
          <w:highlight w:val="none"/>
        </w:rPr>
        <w:t>.</w:t>
      </w:r>
      <w:r>
        <w:rPr>
          <w:rFonts w:hint="eastAsia" w:ascii="仿宋_GB2312" w:hAnsi="宋体" w:eastAsia="仿宋_GB2312" w:cs="宋体"/>
          <w:kern w:val="0"/>
          <w:sz w:val="32"/>
          <w:szCs w:val="32"/>
          <w:highlight w:val="none"/>
        </w:rPr>
        <w:t>根据单位职责分工，本单位内设机构</w:t>
      </w:r>
      <w:r>
        <w:rPr>
          <w:rFonts w:hint="eastAsia" w:ascii="仿宋_GB2312" w:eastAsia="仿宋_GB2312"/>
          <w:kern w:val="76"/>
          <w:sz w:val="32"/>
          <w:szCs w:val="32"/>
          <w:highlight w:val="none"/>
        </w:rPr>
        <w:t>信息因涉及敏感内容，未在报告中体现。本单位无下属单位。</w:t>
      </w:r>
    </w:p>
    <w:p w14:paraId="41114010">
      <w:pPr>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76"/>
          <w:sz w:val="32"/>
          <w:szCs w:val="32"/>
        </w:rPr>
      </w:pPr>
      <w:r>
        <w:rPr>
          <w:rFonts w:eastAsia="Times New Roman"/>
          <w:kern w:val="0"/>
          <w:sz w:val="32"/>
          <w:szCs w:val="32"/>
        </w:rPr>
        <w:t>2</w:t>
      </w:r>
      <w:r>
        <w:rPr>
          <w:rFonts w:hint="eastAsia" w:ascii="仿宋_GB2312" w:eastAsia="仿宋_GB2312"/>
          <w:kern w:val="0"/>
          <w:sz w:val="32"/>
          <w:szCs w:val="32"/>
        </w:rPr>
        <w:t>.</w:t>
      </w:r>
      <w:r>
        <w:rPr>
          <w:rFonts w:hint="eastAsia" w:ascii="仿宋_GB2312" w:hAnsi="宋体" w:eastAsia="仿宋_GB2312" w:cs="宋体"/>
          <w:kern w:val="0"/>
          <w:sz w:val="32"/>
          <w:szCs w:val="32"/>
        </w:rPr>
        <w:t>从决算单位构成看，纳入本单位决算编制范围的预算单位共计</w:t>
      </w:r>
      <w:r>
        <w:rPr>
          <w:rFonts w:eastAsia="仿宋_GB2312"/>
          <w:kern w:val="0"/>
          <w:sz w:val="32"/>
          <w:szCs w:val="32"/>
        </w:rPr>
        <w:t>1</w:t>
      </w:r>
      <w:r>
        <w:rPr>
          <w:rFonts w:hint="eastAsia" w:ascii="仿宋_GB2312" w:hAnsi="宋体" w:eastAsia="仿宋_GB2312" w:cs="宋体"/>
          <w:kern w:val="0"/>
          <w:sz w:val="32"/>
          <w:szCs w:val="32"/>
        </w:rPr>
        <w:t>家，具体包括：</w:t>
      </w:r>
      <w:r>
        <w:rPr>
          <w:rFonts w:hint="eastAsia" w:ascii="仿宋_GB2312" w:eastAsia="仿宋_GB2312"/>
          <w:kern w:val="76"/>
          <w:sz w:val="32"/>
          <w:szCs w:val="32"/>
        </w:rPr>
        <w:t>内蒙古大兴安岭森林公安局吉文分</w:t>
      </w:r>
      <w:r>
        <w:rPr>
          <w:rFonts w:hint="eastAsia" w:ascii="仿宋_GB2312" w:eastAsia="仿宋_GB2312"/>
          <w:kern w:val="76"/>
          <w:sz w:val="32"/>
          <w:szCs w:val="32"/>
          <w:highlight w:val="none"/>
        </w:rPr>
        <w:t>局本级</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rPr>
        <w:t>详细情况</w:t>
      </w:r>
      <w:r>
        <w:rPr>
          <w:rFonts w:hint="eastAsia" w:ascii="仿宋_GB2312" w:hAnsi="宋体" w:eastAsia="仿宋_GB2312" w:cs="宋体"/>
          <w:kern w:val="0"/>
          <w:sz w:val="32"/>
          <w:szCs w:val="32"/>
          <w:u w:val="none"/>
        </w:rPr>
        <w:t>见</w:t>
      </w:r>
      <w:r>
        <w:rPr>
          <w:rFonts w:hint="eastAsia" w:ascii="仿宋_GB2312" w:hAnsi="宋体" w:eastAsia="仿宋_GB2312" w:cs="宋体"/>
          <w:kern w:val="0"/>
          <w:sz w:val="32"/>
          <w:szCs w:val="32"/>
        </w:rPr>
        <w:t>表：</w:t>
      </w:r>
    </w:p>
    <w:tbl>
      <w:tblPr>
        <w:tblStyle w:val="19"/>
        <w:tblW w:w="7727" w:type="dxa"/>
        <w:jc w:val="center"/>
        <w:tblLayout w:type="fixed"/>
        <w:tblCellMar>
          <w:top w:w="15" w:type="dxa"/>
          <w:left w:w="15" w:type="dxa"/>
          <w:bottom w:w="15" w:type="dxa"/>
          <w:right w:w="15" w:type="dxa"/>
        </w:tblCellMar>
      </w:tblPr>
      <w:tblGrid>
        <w:gridCol w:w="912"/>
        <w:gridCol w:w="5325"/>
        <w:gridCol w:w="1490"/>
      </w:tblGrid>
      <w:tr w14:paraId="6A6B7A7F">
        <w:tblPrEx>
          <w:tblCellMar>
            <w:top w:w="15" w:type="dxa"/>
            <w:left w:w="15" w:type="dxa"/>
            <w:bottom w:w="15" w:type="dxa"/>
            <w:right w:w="15" w:type="dxa"/>
          </w:tblCellMar>
        </w:tblPrEx>
        <w:trPr>
          <w:trHeight w:val="459" w:hRule="atLeast"/>
          <w:tblHeader/>
          <w:jc w:val="center"/>
        </w:trPr>
        <w:tc>
          <w:tcPr>
            <w:tcW w:w="912"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4D190A3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olor w:val="000000"/>
                <w:kern w:val="0"/>
                <w:sz w:val="32"/>
                <w:szCs w:val="32"/>
              </w:rPr>
            </w:pPr>
            <w:r>
              <w:rPr>
                <w:rFonts w:hint="eastAsia" w:ascii="仿宋_GB2312" w:hAnsi="仿宋" w:eastAsia="仿宋_GB2312" w:cs="仿宋"/>
                <w:color w:val="000000"/>
                <w:kern w:val="0"/>
                <w:sz w:val="32"/>
                <w:szCs w:val="32"/>
              </w:rPr>
              <w:t>序号</w:t>
            </w:r>
          </w:p>
        </w:tc>
        <w:tc>
          <w:tcPr>
            <w:tcW w:w="5325"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3C8B6CE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olor w:val="000000"/>
                <w:kern w:val="0"/>
                <w:sz w:val="32"/>
                <w:szCs w:val="32"/>
              </w:rPr>
            </w:pPr>
            <w:r>
              <w:rPr>
                <w:rFonts w:hint="eastAsia" w:ascii="仿宋_GB2312" w:hAnsi="仿宋" w:eastAsia="仿宋_GB2312" w:cs="仿宋"/>
                <w:color w:val="000000"/>
                <w:kern w:val="0"/>
                <w:sz w:val="32"/>
                <w:szCs w:val="32"/>
              </w:rPr>
              <w:t>单位名称</w:t>
            </w:r>
          </w:p>
        </w:tc>
        <w:tc>
          <w:tcPr>
            <w:tcW w:w="1490"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2ACB013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olor w:val="000000"/>
                <w:kern w:val="0"/>
                <w:sz w:val="32"/>
                <w:szCs w:val="32"/>
              </w:rPr>
            </w:pPr>
            <w:r>
              <w:rPr>
                <w:rFonts w:hint="eastAsia" w:ascii="仿宋_GB2312" w:hAnsi="仿宋" w:eastAsia="仿宋_GB2312" w:cs="仿宋"/>
                <w:color w:val="000000"/>
                <w:kern w:val="0"/>
                <w:sz w:val="32"/>
                <w:szCs w:val="32"/>
              </w:rPr>
              <w:t>单位性质</w:t>
            </w:r>
          </w:p>
        </w:tc>
      </w:tr>
      <w:tr w14:paraId="2090E8DC">
        <w:tblPrEx>
          <w:tblCellMar>
            <w:top w:w="15" w:type="dxa"/>
            <w:left w:w="15" w:type="dxa"/>
            <w:bottom w:w="15" w:type="dxa"/>
            <w:right w:w="15" w:type="dxa"/>
          </w:tblCellMar>
        </w:tblPrEx>
        <w:trPr>
          <w:trHeight w:val="368" w:hRule="atLeast"/>
          <w:jc w:val="center"/>
        </w:trPr>
        <w:tc>
          <w:tcPr>
            <w:tcW w:w="912"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0E05AC4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eastAsia="Times New Roman"/>
                <w:color w:val="000000"/>
                <w:kern w:val="0"/>
                <w:sz w:val="32"/>
                <w:szCs w:val="32"/>
              </w:rPr>
            </w:pPr>
            <w:r>
              <w:rPr>
                <w:rFonts w:eastAsia="Times New Roman"/>
                <w:color w:val="000000"/>
                <w:kern w:val="0"/>
                <w:sz w:val="32"/>
                <w:szCs w:val="32"/>
              </w:rPr>
              <w:t>1</w:t>
            </w:r>
          </w:p>
        </w:tc>
        <w:tc>
          <w:tcPr>
            <w:tcW w:w="5325"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21960E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olor w:val="000000"/>
                <w:kern w:val="0"/>
                <w:sz w:val="32"/>
                <w:szCs w:val="32"/>
              </w:rPr>
            </w:pPr>
            <w:r>
              <w:rPr>
                <w:rFonts w:hint="eastAsia" w:ascii="仿宋_GB2312" w:eastAsia="仿宋_GB2312"/>
                <w:color w:val="000000"/>
                <w:kern w:val="76"/>
                <w:sz w:val="32"/>
                <w:szCs w:val="32"/>
              </w:rPr>
              <w:t>内蒙古大兴安岭森林公安局吉文分局</w:t>
            </w:r>
          </w:p>
        </w:tc>
        <w:tc>
          <w:tcPr>
            <w:tcW w:w="1490" w:type="dxa"/>
            <w:tcBorders>
              <w:top w:val="outset" w:color="808080" w:sz="6" w:space="0"/>
              <w:left w:val="outset" w:color="808080" w:sz="6" w:space="0"/>
              <w:bottom w:val="outset" w:color="808080" w:sz="6" w:space="0"/>
              <w:right w:val="outset" w:color="808080" w:sz="6" w:space="0"/>
            </w:tcBorders>
            <w:tcMar>
              <w:top w:w="15" w:type="dxa"/>
              <w:left w:w="22" w:type="dxa"/>
              <w:bottom w:w="15" w:type="dxa"/>
              <w:right w:w="22" w:type="dxa"/>
            </w:tcMar>
            <w:vAlign w:val="center"/>
          </w:tcPr>
          <w:p w14:paraId="38A6F0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color w:val="000000"/>
                <w:kern w:val="0"/>
                <w:sz w:val="32"/>
                <w:szCs w:val="32"/>
              </w:rPr>
            </w:pPr>
            <w:r>
              <w:rPr>
                <w:rFonts w:hint="eastAsia" w:ascii="仿宋_GB2312" w:hAnsi="仿宋" w:eastAsia="仿宋_GB2312" w:cs="仿宋"/>
                <w:color w:val="000000"/>
                <w:kern w:val="0"/>
                <w:sz w:val="32"/>
                <w:szCs w:val="32"/>
              </w:rPr>
              <w:t>行政单位</w:t>
            </w:r>
          </w:p>
        </w:tc>
      </w:tr>
    </w:tbl>
    <w:p w14:paraId="44A092C3">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三、</w:t>
      </w:r>
      <w:r>
        <w:rPr>
          <w:rFonts w:eastAsia="黑体"/>
          <w:bCs/>
          <w:kern w:val="0"/>
          <w:sz w:val="32"/>
          <w:szCs w:val="32"/>
        </w:rPr>
        <w:t>2025</w:t>
      </w:r>
      <w:r>
        <w:rPr>
          <w:rFonts w:ascii="黑体" w:hAnsi="黑体" w:eastAsia="黑体" w:cs="黑体"/>
          <w:bCs/>
          <w:kern w:val="0"/>
          <w:sz w:val="32"/>
          <w:szCs w:val="32"/>
        </w:rPr>
        <w:t>年度单位主要工作完成情况</w:t>
      </w:r>
    </w:p>
    <w:p w14:paraId="136739DA">
      <w:pPr>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32"/>
          <w:szCs w:val="32"/>
        </w:rPr>
      </w:pPr>
      <w:r>
        <w:rPr>
          <w:rFonts w:eastAsia="仿宋_GB2312"/>
          <w:kern w:val="0"/>
          <w:sz w:val="32"/>
          <w:szCs w:val="32"/>
        </w:rPr>
        <w:t>2025</w:t>
      </w:r>
      <w:r>
        <w:rPr>
          <w:rFonts w:hint="eastAsia" w:ascii="仿宋_GB2312" w:eastAsia="仿宋_GB2312"/>
          <w:kern w:val="0"/>
          <w:sz w:val="32"/>
          <w:szCs w:val="32"/>
        </w:rPr>
        <w:t>年内蒙古大兴安岭森林公安局吉文分局在大林公安局的正确领导下，坚决贯彻落实公安厅、大林公安局的各项决策部署，扎实开展党纪学习教育、“提质增效”教育训练活动，始终坚持把学习贯彻</w:t>
      </w:r>
      <w:r>
        <w:rPr>
          <w:rFonts w:hint="eastAsia" w:ascii="仿宋_GB2312" w:hAnsi="仿宋_GB2312" w:eastAsia="仿宋_GB2312"/>
          <w:kern w:val="0"/>
          <w:sz w:val="32"/>
          <w:szCs w:val="32"/>
        </w:rPr>
        <w:t>习近平新时代中国特色社会主义思想作为首要政治任务，将意识形态工作摆在首位，切实加强党建工作，积极开展党纪学习教育、</w:t>
      </w:r>
      <w:r>
        <w:rPr>
          <w:rFonts w:hint="eastAsia" w:ascii="仿宋_GB2312" w:eastAsia="仿宋_GB2312"/>
          <w:kern w:val="0"/>
          <w:sz w:val="32"/>
          <w:szCs w:val="32"/>
        </w:rPr>
        <w:t>“</w:t>
      </w:r>
      <w:r>
        <w:rPr>
          <w:rFonts w:hint="eastAsia" w:ascii="仿宋_GB2312" w:hAnsi="仿宋_GB2312" w:eastAsia="仿宋_GB2312"/>
          <w:kern w:val="0"/>
          <w:sz w:val="32"/>
          <w:szCs w:val="32"/>
        </w:rPr>
        <w:t>提质增效</w:t>
      </w:r>
      <w:r>
        <w:rPr>
          <w:rFonts w:hint="eastAsia" w:ascii="仿宋_GB2312" w:eastAsia="仿宋_GB2312"/>
          <w:kern w:val="0"/>
          <w:sz w:val="32"/>
          <w:szCs w:val="32"/>
        </w:rPr>
        <w:t>”</w:t>
      </w:r>
      <w:r>
        <w:rPr>
          <w:rFonts w:hint="eastAsia" w:ascii="仿宋_GB2312" w:hAnsi="仿宋_GB2312" w:eastAsia="仿宋_GB2312"/>
          <w:kern w:val="0"/>
          <w:sz w:val="32"/>
          <w:szCs w:val="32"/>
        </w:rPr>
        <w:t>等活动，大力推进星级化亮晒比、坚强堡垒</w:t>
      </w:r>
      <w:r>
        <w:rPr>
          <w:rFonts w:hint="eastAsia" w:ascii="仿宋_GB2312" w:eastAsia="仿宋_GB2312"/>
          <w:kern w:val="0"/>
          <w:sz w:val="32"/>
          <w:szCs w:val="32"/>
        </w:rPr>
        <w:t>“</w:t>
      </w:r>
      <w:r>
        <w:rPr>
          <w:rFonts w:hint="eastAsia" w:ascii="仿宋_GB2312" w:hAnsi="仿宋_GB2312" w:eastAsia="仿宋_GB2312"/>
          <w:kern w:val="0"/>
          <w:sz w:val="32"/>
          <w:szCs w:val="32"/>
        </w:rPr>
        <w:t>模范</w:t>
      </w:r>
      <w:r>
        <w:rPr>
          <w:rFonts w:hint="eastAsia" w:ascii="仿宋_GB2312" w:eastAsia="仿宋_GB2312"/>
          <w:kern w:val="0"/>
          <w:sz w:val="32"/>
          <w:szCs w:val="32"/>
        </w:rPr>
        <w:t>”</w:t>
      </w:r>
      <w:r>
        <w:rPr>
          <w:rFonts w:hint="eastAsia" w:ascii="仿宋_GB2312" w:hAnsi="仿宋_GB2312" w:eastAsia="仿宋_GB2312"/>
          <w:kern w:val="0"/>
          <w:sz w:val="32"/>
          <w:szCs w:val="32"/>
        </w:rPr>
        <w:t>支部的创建，各警种充分发挥职能作用，切实维护辖区治安。加强执法监督，规范执</w:t>
      </w:r>
      <w:r>
        <w:rPr>
          <w:rFonts w:hint="eastAsia" w:ascii="仿宋_GB2312" w:hAnsi="仿宋_GB2312" w:eastAsia="仿宋_GB2312" w:cs="仿宋_GB2312"/>
          <w:kern w:val="0"/>
          <w:sz w:val="32"/>
          <w:szCs w:val="32"/>
        </w:rPr>
        <w:t>法程序，全面提升森林公安民警执法办案能力。较好地完成了各项工作，为保护森林野生动植物资源、维护林区社会稳定、保障林业生态建设顺利进行做出了积极贡献。</w:t>
      </w:r>
    </w:p>
    <w:p w14:paraId="0A3528E8">
      <w:pPr>
        <w:pStyle w:val="3"/>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rFonts w:ascii="Times New Roman" w:hAnsi="Times New Roman" w:eastAsia="Times New Roman"/>
          <w:b/>
          <w:bCs w:val="0"/>
          <w:kern w:val="0"/>
          <w:sz w:val="44"/>
          <w:szCs w:val="44"/>
        </w:rPr>
      </w:pPr>
      <w:r>
        <w:rPr>
          <w:rFonts w:ascii="方正小标宋简体" w:hAnsi="方正小标宋简体" w:eastAsia="方正小标宋简体" w:cs="方正小标宋简体"/>
          <w:b/>
          <w:bCs w:val="0"/>
          <w:kern w:val="0"/>
          <w:sz w:val="44"/>
          <w:szCs w:val="44"/>
        </w:rPr>
        <w:t>第二部分</w:t>
      </w:r>
      <w:r>
        <w:rPr>
          <w:rFonts w:hint="eastAsia" w:ascii="Times New Roman" w:hAnsi="Times New Roman" w:eastAsia="宋体"/>
          <w:b/>
          <w:bCs w:val="0"/>
          <w:kern w:val="0"/>
          <w:sz w:val="44"/>
          <w:szCs w:val="44"/>
          <w:lang w:val="en-US" w:eastAsia="zh-CN"/>
        </w:rPr>
        <w:t xml:space="preserve"> </w:t>
      </w:r>
      <w:r>
        <w:rPr>
          <w:rFonts w:ascii="方正小标宋简体" w:hAnsi="方正小标宋简体" w:eastAsia="方正小标宋简体" w:cs="方正小标宋简体"/>
          <w:b/>
          <w:bCs w:val="0"/>
          <w:kern w:val="0"/>
          <w:sz w:val="44"/>
          <w:szCs w:val="44"/>
        </w:rPr>
        <w:t>单位决算情况说明</w:t>
      </w:r>
    </w:p>
    <w:p w14:paraId="2BDC383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一、收入支出决算总体情况说明</w:t>
      </w:r>
    </w:p>
    <w:p w14:paraId="534CBCB4">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年度收入、支出决算总计均为</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821.77</w:t>
      </w:r>
      <w:r>
        <w:rPr>
          <w:rFonts w:hint="eastAsia" w:ascii="仿宋_GB2312" w:hAnsi="仿宋" w:eastAsia="仿宋_GB2312" w:cs="仿宋"/>
          <w:kern w:val="0"/>
          <w:sz w:val="32"/>
          <w:szCs w:val="32"/>
        </w:rPr>
        <w:t>万元。与年初预算相比，收、支总计各增加</w:t>
      </w:r>
      <w:r>
        <w:rPr>
          <w:rFonts w:eastAsia="仿宋_GB2312"/>
          <w:kern w:val="0"/>
          <w:sz w:val="32"/>
          <w:szCs w:val="32"/>
        </w:rPr>
        <w:t>38.14</w:t>
      </w:r>
      <w:r>
        <w:rPr>
          <w:rFonts w:hint="eastAsia" w:ascii="仿宋_GB2312" w:hAnsi="仿宋" w:eastAsia="仿宋_GB2312" w:cs="仿宋"/>
          <w:kern w:val="0"/>
          <w:sz w:val="32"/>
          <w:szCs w:val="32"/>
        </w:rPr>
        <w:t>万元，增长</w:t>
      </w:r>
      <w:r>
        <w:rPr>
          <w:rFonts w:eastAsia="仿宋_GB2312"/>
          <w:kern w:val="0"/>
          <w:sz w:val="32"/>
          <w:szCs w:val="32"/>
        </w:rPr>
        <w:t>2.14%</w:t>
      </w:r>
      <w:r>
        <w:rPr>
          <w:rFonts w:hint="eastAsia" w:ascii="仿宋_GB2312" w:hAnsi="仿宋" w:eastAsia="仿宋_GB2312" w:cs="仿宋"/>
          <w:kern w:val="0"/>
          <w:sz w:val="32"/>
          <w:szCs w:val="32"/>
        </w:rPr>
        <w:t>，变动原因：</w:t>
      </w:r>
      <w:r>
        <w:rPr>
          <w:rFonts w:eastAsia="仿宋_GB2312"/>
          <w:color w:val="000000"/>
          <w:kern w:val="76"/>
          <w:sz w:val="32"/>
          <w:szCs w:val="32"/>
        </w:rPr>
        <w:t>2025</w:t>
      </w:r>
      <w:r>
        <w:rPr>
          <w:rFonts w:hint="eastAsia" w:ascii="仿宋_GB2312" w:eastAsia="仿宋_GB2312"/>
          <w:color w:val="000000"/>
          <w:kern w:val="76"/>
          <w:sz w:val="32"/>
          <w:szCs w:val="32"/>
        </w:rPr>
        <w:t>年我单位新增在职人员，导致人员经费增加</w:t>
      </w:r>
      <w:r>
        <w:rPr>
          <w:rFonts w:hint="eastAsia" w:ascii="仿宋_GB2312" w:hAnsi="仿宋" w:eastAsia="仿宋_GB2312" w:cs="仿宋"/>
          <w:kern w:val="0"/>
          <w:sz w:val="32"/>
          <w:szCs w:val="32"/>
        </w:rPr>
        <w:t>；与上年决算相比，收、支总计各增加</w:t>
      </w:r>
      <w:r>
        <w:rPr>
          <w:rFonts w:eastAsia="仿宋_GB2312"/>
          <w:kern w:val="0"/>
          <w:sz w:val="32"/>
          <w:szCs w:val="32"/>
        </w:rPr>
        <w:t>47.61</w:t>
      </w:r>
      <w:r>
        <w:rPr>
          <w:rFonts w:hint="eastAsia" w:ascii="仿宋_GB2312" w:hAnsi="仿宋" w:eastAsia="仿宋_GB2312" w:cs="仿宋"/>
          <w:kern w:val="0"/>
          <w:sz w:val="32"/>
          <w:szCs w:val="32"/>
        </w:rPr>
        <w:t>万元，增长</w:t>
      </w:r>
      <w:r>
        <w:rPr>
          <w:rFonts w:eastAsia="仿宋_GB2312"/>
          <w:kern w:val="0"/>
          <w:sz w:val="32"/>
          <w:szCs w:val="32"/>
        </w:rPr>
        <w:t>2.68%</w:t>
      </w:r>
      <w:r>
        <w:rPr>
          <w:rFonts w:hint="eastAsia" w:ascii="仿宋_GB2312" w:hAnsi="仿宋" w:eastAsia="仿宋_GB2312" w:cs="仿宋"/>
          <w:kern w:val="0"/>
          <w:sz w:val="32"/>
          <w:szCs w:val="32"/>
        </w:rPr>
        <w:t>。其中：</w:t>
      </w:r>
    </w:p>
    <w:p w14:paraId="1F0EF48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b/>
          <w:kern w:val="0"/>
          <w:sz w:val="24"/>
        </w:rPr>
      </w:pPr>
      <w:r>
        <w:rPr>
          <w:rFonts w:hint="eastAsia" w:ascii="楷体_GB2312" w:hAnsi="楷体" w:eastAsia="楷体_GB2312" w:cs="楷体"/>
          <w:b/>
          <w:bCs/>
          <w:kern w:val="0"/>
          <w:sz w:val="32"/>
          <w:szCs w:val="32"/>
        </w:rPr>
        <w:t>（一）收入决算总计</w:t>
      </w:r>
      <w:r>
        <w:rPr>
          <w:rFonts w:eastAsia="楷体_GB2312"/>
          <w:b/>
          <w:bCs/>
          <w:kern w:val="0"/>
          <w:sz w:val="32"/>
          <w:szCs w:val="32"/>
        </w:rPr>
        <w:t>1</w:t>
      </w:r>
      <w:r>
        <w:rPr>
          <w:rFonts w:hint="eastAsia" w:eastAsia="楷体_GB2312"/>
          <w:b/>
          <w:bCs/>
          <w:kern w:val="0"/>
          <w:sz w:val="32"/>
          <w:szCs w:val="32"/>
        </w:rPr>
        <w:t>,</w:t>
      </w:r>
      <w:r>
        <w:rPr>
          <w:rFonts w:eastAsia="楷体_GB2312"/>
          <w:b/>
          <w:bCs/>
          <w:kern w:val="0"/>
          <w:sz w:val="32"/>
          <w:szCs w:val="32"/>
        </w:rPr>
        <w:t>821.77</w:t>
      </w:r>
      <w:r>
        <w:rPr>
          <w:rFonts w:hint="eastAsia" w:ascii="楷体_GB2312" w:hAnsi="楷体" w:eastAsia="楷体_GB2312" w:cs="楷体"/>
          <w:b/>
          <w:bCs/>
          <w:kern w:val="0"/>
          <w:sz w:val="32"/>
          <w:szCs w:val="32"/>
        </w:rPr>
        <w:t>万元。包括：</w:t>
      </w:r>
    </w:p>
    <w:p w14:paraId="59A7B00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Times New Roman"/>
          <w:kern w:val="0"/>
          <w:sz w:val="32"/>
          <w:szCs w:val="32"/>
        </w:rPr>
        <w:t>1</w:t>
      </w:r>
      <w:r>
        <w:rPr>
          <w:rFonts w:eastAsia="仿宋"/>
          <w:kern w:val="0"/>
          <w:sz w:val="32"/>
          <w:szCs w:val="32"/>
        </w:rPr>
        <w:t>.</w:t>
      </w:r>
      <w:r>
        <w:rPr>
          <w:rFonts w:hint="eastAsia" w:ascii="仿宋_GB2312" w:hAnsi="仿宋" w:eastAsia="仿宋_GB2312" w:cs="仿宋"/>
          <w:kern w:val="0"/>
          <w:sz w:val="32"/>
          <w:szCs w:val="32"/>
        </w:rPr>
        <w:t>本年收入决算合计</w:t>
      </w:r>
      <w:r>
        <w:rPr>
          <w:rFonts w:eastAsia="Times New Roman"/>
          <w:kern w:val="0"/>
          <w:sz w:val="32"/>
          <w:szCs w:val="32"/>
        </w:rPr>
        <w:t>1</w:t>
      </w:r>
      <w:r>
        <w:rPr>
          <w:rFonts w:hint="eastAsia" w:eastAsiaTheme="minorEastAsia"/>
          <w:kern w:val="0"/>
          <w:sz w:val="32"/>
          <w:szCs w:val="32"/>
        </w:rPr>
        <w:t>,</w:t>
      </w:r>
      <w:r>
        <w:rPr>
          <w:rFonts w:eastAsia="Times New Roman"/>
          <w:kern w:val="0"/>
          <w:sz w:val="32"/>
          <w:szCs w:val="32"/>
        </w:rPr>
        <w:t>820.72</w:t>
      </w:r>
      <w:r>
        <w:rPr>
          <w:rFonts w:hint="eastAsia" w:ascii="仿宋_GB2312" w:hAnsi="仿宋" w:eastAsia="仿宋_GB2312" w:cs="仿宋"/>
          <w:kern w:val="0"/>
          <w:sz w:val="32"/>
          <w:szCs w:val="32"/>
        </w:rPr>
        <w:t>万元。与上年决算相比，增加</w:t>
      </w:r>
      <w:r>
        <w:rPr>
          <w:rFonts w:eastAsia="Times New Roman"/>
          <w:kern w:val="0"/>
          <w:sz w:val="32"/>
          <w:szCs w:val="32"/>
        </w:rPr>
        <w:t>47.61</w:t>
      </w:r>
      <w:r>
        <w:rPr>
          <w:rFonts w:hint="eastAsia" w:ascii="仿宋_GB2312" w:hAnsi="仿宋" w:eastAsia="仿宋_GB2312" w:cs="仿宋"/>
          <w:kern w:val="0"/>
          <w:sz w:val="32"/>
          <w:szCs w:val="32"/>
        </w:rPr>
        <w:t>万元，增长</w:t>
      </w:r>
      <w:r>
        <w:rPr>
          <w:rFonts w:eastAsia="Times New Roman"/>
          <w:kern w:val="0"/>
          <w:sz w:val="32"/>
          <w:szCs w:val="32"/>
        </w:rPr>
        <w:t>2.69</w:t>
      </w:r>
      <w:r>
        <w:rPr>
          <w:rFonts w:ascii="仿宋" w:hAnsi="仿宋" w:eastAsia="仿宋" w:cs="仿宋"/>
          <w:kern w:val="0"/>
          <w:sz w:val="32"/>
          <w:szCs w:val="32"/>
        </w:rPr>
        <w:t>%，</w:t>
      </w:r>
      <w:r>
        <w:rPr>
          <w:rFonts w:hint="eastAsia" w:ascii="仿宋_GB2312" w:hAnsi="仿宋" w:eastAsia="仿宋_GB2312" w:cs="仿宋"/>
          <w:kern w:val="0"/>
          <w:sz w:val="32"/>
          <w:szCs w:val="32"/>
        </w:rPr>
        <w:t>变动原因：</w:t>
      </w:r>
      <w:r>
        <w:rPr>
          <w:rFonts w:eastAsia="仿宋_GB2312"/>
          <w:color w:val="000000"/>
          <w:kern w:val="76"/>
          <w:sz w:val="32"/>
          <w:szCs w:val="32"/>
        </w:rPr>
        <w:t>2025</w:t>
      </w:r>
      <w:r>
        <w:rPr>
          <w:rFonts w:hint="eastAsia" w:ascii="仿宋_GB2312" w:eastAsia="仿宋_GB2312"/>
          <w:color w:val="000000"/>
          <w:kern w:val="76"/>
          <w:sz w:val="32"/>
          <w:szCs w:val="32"/>
        </w:rPr>
        <w:t>年我单位新增在职人员，人员经费增加</w:t>
      </w:r>
      <w:r>
        <w:rPr>
          <w:rFonts w:hint="eastAsia" w:ascii="仿宋_GB2312" w:hAnsi="仿宋" w:eastAsia="仿宋_GB2312" w:cs="仿宋"/>
          <w:kern w:val="0"/>
          <w:sz w:val="32"/>
          <w:szCs w:val="32"/>
        </w:rPr>
        <w:t>。</w:t>
      </w:r>
    </w:p>
    <w:p w14:paraId="30D1B16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 w:eastAsia="仿宋_GB2312" w:cs="仿宋"/>
          <w:kern w:val="0"/>
          <w:sz w:val="32"/>
          <w:szCs w:val="32"/>
          <w:lang w:val="en-US" w:eastAsia="zh-CN"/>
        </w:rPr>
      </w:pPr>
      <w:r>
        <w:rPr>
          <w:rFonts w:eastAsia="Times New Roman"/>
          <w:kern w:val="0"/>
          <w:sz w:val="32"/>
          <w:szCs w:val="32"/>
        </w:rPr>
        <w:t>2</w:t>
      </w:r>
      <w:r>
        <w:rPr>
          <w:rFonts w:eastAsia="仿宋"/>
          <w:kern w:val="0"/>
          <w:sz w:val="32"/>
          <w:szCs w:val="32"/>
        </w:rPr>
        <w:t>.</w:t>
      </w:r>
      <w:r>
        <w:rPr>
          <w:rFonts w:hint="eastAsia" w:ascii="仿宋_GB2312" w:hAnsi="仿宋" w:eastAsia="仿宋_GB2312" w:cs="仿宋"/>
          <w:kern w:val="0"/>
          <w:sz w:val="32"/>
          <w:szCs w:val="32"/>
        </w:rPr>
        <w:t>使用非财政拨款结余（含专用结余）</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hAnsi="仿宋" w:eastAsia="仿宋_GB2312" w:cs="仿宋"/>
          <w:kern w:val="0"/>
          <w:sz w:val="32"/>
          <w:szCs w:val="32"/>
          <w:lang w:val="en-US" w:eastAsia="zh-CN"/>
        </w:rPr>
        <w:t>不存在此项内容</w:t>
      </w:r>
    </w:p>
    <w:p w14:paraId="1966AD9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3.</w:t>
      </w:r>
      <w:r>
        <w:rPr>
          <w:rFonts w:hint="eastAsia" w:ascii="仿宋_GB2312" w:hAnsi="仿宋" w:eastAsia="仿宋_GB2312" w:cs="仿宋"/>
          <w:kern w:val="0"/>
          <w:sz w:val="32"/>
          <w:szCs w:val="32"/>
        </w:rPr>
        <w:t>年初结转和结余</w:t>
      </w:r>
      <w:r>
        <w:rPr>
          <w:rFonts w:eastAsia="仿宋_GB2312"/>
          <w:kern w:val="0"/>
          <w:sz w:val="32"/>
          <w:szCs w:val="32"/>
        </w:rPr>
        <w:t>1.04</w:t>
      </w:r>
      <w:r>
        <w:rPr>
          <w:rFonts w:hint="eastAsia" w:ascii="仿宋_GB2312" w:hAnsi="仿宋" w:eastAsia="仿宋_GB2312" w:cs="仿宋"/>
          <w:kern w:val="0"/>
          <w:sz w:val="32"/>
          <w:szCs w:val="32"/>
        </w:rPr>
        <w:t>万元。与上年决算相比，增加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r>
        <w:rPr>
          <w:rFonts w:hint="eastAsia" w:ascii="仿宋_GB2312" w:hAnsi="仿宋" w:eastAsia="仿宋_GB2312" w:cs="仿宋"/>
          <w:kern w:val="0"/>
          <w:sz w:val="32"/>
          <w:szCs w:val="32"/>
          <w:highlight w:val="none"/>
        </w:rPr>
        <w:t>变动原因：</w:t>
      </w:r>
      <w:r>
        <w:rPr>
          <w:rFonts w:hint="eastAsia" w:ascii="仿宋_GB2312" w:eastAsia="仿宋_GB2312" w:cs="仿宋" w:hAnsiTheme="minorEastAsia"/>
          <w:kern w:val="0"/>
          <w:sz w:val="32"/>
          <w:szCs w:val="32"/>
          <w:highlight w:val="none"/>
        </w:rPr>
        <w:t>无</w:t>
      </w:r>
      <w:r>
        <w:rPr>
          <w:rFonts w:hint="eastAsia" w:ascii="仿宋_GB2312" w:hAnsi="仿宋" w:eastAsia="仿宋_GB2312" w:cs="仿宋"/>
          <w:kern w:val="0"/>
          <w:sz w:val="32"/>
          <w:szCs w:val="32"/>
          <w:highlight w:val="none"/>
        </w:rPr>
        <w:t>。</w:t>
      </w:r>
    </w:p>
    <w:p w14:paraId="33B75B9C">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（二）支出决算总计</w:t>
      </w:r>
      <w:r>
        <w:rPr>
          <w:rFonts w:eastAsia="楷体_GB2312"/>
          <w:b/>
          <w:bCs/>
          <w:kern w:val="0"/>
          <w:sz w:val="32"/>
          <w:szCs w:val="32"/>
        </w:rPr>
        <w:t>1</w:t>
      </w:r>
      <w:r>
        <w:rPr>
          <w:rFonts w:hint="eastAsia" w:eastAsia="楷体_GB2312"/>
          <w:b/>
          <w:bCs/>
          <w:kern w:val="0"/>
          <w:sz w:val="32"/>
          <w:szCs w:val="32"/>
        </w:rPr>
        <w:t>,</w:t>
      </w:r>
      <w:r>
        <w:rPr>
          <w:rFonts w:eastAsia="楷体_GB2312"/>
          <w:b/>
          <w:bCs/>
          <w:kern w:val="0"/>
          <w:sz w:val="32"/>
          <w:szCs w:val="32"/>
        </w:rPr>
        <w:t>821.77</w:t>
      </w:r>
      <w:r>
        <w:rPr>
          <w:rFonts w:hint="eastAsia" w:ascii="楷体_GB2312" w:hAnsi="楷体" w:eastAsia="楷体_GB2312" w:cs="楷体"/>
          <w:b/>
          <w:bCs/>
          <w:kern w:val="0"/>
          <w:sz w:val="32"/>
          <w:szCs w:val="32"/>
        </w:rPr>
        <w:t>万元。包括：</w:t>
      </w:r>
    </w:p>
    <w:p w14:paraId="2070DD4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Times New Roman"/>
          <w:kern w:val="0"/>
          <w:sz w:val="32"/>
          <w:szCs w:val="32"/>
        </w:rPr>
        <w:t>1</w:t>
      </w:r>
      <w:r>
        <w:rPr>
          <w:rFonts w:eastAsia="仿宋"/>
          <w:kern w:val="0"/>
          <w:sz w:val="32"/>
          <w:szCs w:val="32"/>
        </w:rPr>
        <w:t>.</w:t>
      </w:r>
      <w:r>
        <w:rPr>
          <w:rFonts w:hint="eastAsia" w:ascii="仿宋_GB2312" w:hAnsi="仿宋" w:eastAsia="仿宋_GB2312" w:cs="仿宋"/>
          <w:kern w:val="0"/>
          <w:sz w:val="32"/>
          <w:szCs w:val="32"/>
        </w:rPr>
        <w:t>本年支出决算合计</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820.72</w:t>
      </w:r>
      <w:r>
        <w:rPr>
          <w:rFonts w:hint="eastAsia" w:ascii="仿宋_GB2312" w:hAnsi="仿宋" w:eastAsia="仿宋_GB2312" w:cs="仿宋"/>
          <w:kern w:val="0"/>
          <w:sz w:val="32"/>
          <w:szCs w:val="32"/>
        </w:rPr>
        <w:t>万元。与上年决算相比，增加</w:t>
      </w:r>
      <w:r>
        <w:rPr>
          <w:rFonts w:eastAsia="仿宋_GB2312"/>
          <w:kern w:val="0"/>
          <w:sz w:val="32"/>
          <w:szCs w:val="32"/>
        </w:rPr>
        <w:t>47.61</w:t>
      </w:r>
      <w:r>
        <w:rPr>
          <w:rFonts w:hint="eastAsia" w:ascii="仿宋_GB2312" w:hAnsi="仿宋" w:eastAsia="仿宋_GB2312" w:cs="仿宋"/>
          <w:kern w:val="0"/>
          <w:sz w:val="32"/>
          <w:szCs w:val="32"/>
        </w:rPr>
        <w:t>万元，增长</w:t>
      </w:r>
      <w:r>
        <w:rPr>
          <w:rFonts w:eastAsia="仿宋_GB2312"/>
          <w:kern w:val="0"/>
          <w:sz w:val="32"/>
          <w:szCs w:val="32"/>
        </w:rPr>
        <w:t>2.69%</w:t>
      </w:r>
      <w:r>
        <w:rPr>
          <w:rFonts w:hint="eastAsia" w:ascii="仿宋_GB2312" w:hAnsi="仿宋" w:eastAsia="仿宋_GB2312" w:cs="仿宋"/>
          <w:kern w:val="0"/>
          <w:sz w:val="32"/>
          <w:szCs w:val="32"/>
        </w:rPr>
        <w:t>，变动原因：</w:t>
      </w:r>
      <w:r>
        <w:rPr>
          <w:rFonts w:eastAsia="仿宋_GB2312"/>
          <w:color w:val="000000"/>
          <w:kern w:val="76"/>
          <w:sz w:val="32"/>
          <w:szCs w:val="32"/>
        </w:rPr>
        <w:t>2025</w:t>
      </w:r>
      <w:r>
        <w:rPr>
          <w:rFonts w:hint="eastAsia" w:ascii="仿宋_GB2312" w:eastAsia="仿宋_GB2312"/>
          <w:color w:val="000000"/>
          <w:kern w:val="76"/>
          <w:sz w:val="32"/>
          <w:szCs w:val="32"/>
        </w:rPr>
        <w:t>年我单位新增在职人员，人员经费增加</w:t>
      </w:r>
      <w:r>
        <w:rPr>
          <w:rFonts w:hint="eastAsia" w:ascii="仿宋_GB2312" w:hAnsi="仿宋" w:eastAsia="仿宋_GB2312" w:cs="仿宋"/>
          <w:kern w:val="0"/>
          <w:sz w:val="32"/>
          <w:szCs w:val="32"/>
        </w:rPr>
        <w:t>。</w:t>
      </w:r>
    </w:p>
    <w:p w14:paraId="496CCE6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2.</w:t>
      </w:r>
      <w:r>
        <w:rPr>
          <w:rFonts w:hint="eastAsia" w:ascii="仿宋_GB2312" w:hAnsi="仿宋" w:eastAsia="仿宋_GB2312" w:cs="仿宋"/>
          <w:kern w:val="0"/>
          <w:sz w:val="32"/>
          <w:szCs w:val="32"/>
        </w:rPr>
        <w:t>结余分配</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万元。结余分配事项：</w:t>
      </w:r>
      <w:r>
        <w:rPr>
          <w:rFonts w:hint="eastAsia" w:ascii="仿宋_GB2312" w:eastAsia="仿宋_GB2312"/>
          <w:color w:val="000000"/>
          <w:kern w:val="76"/>
          <w:sz w:val="32"/>
          <w:szCs w:val="32"/>
        </w:rPr>
        <w:t>不存在此项内容</w:t>
      </w:r>
      <w:r>
        <w:rPr>
          <w:rFonts w:hint="eastAsia" w:ascii="仿宋_GB2312" w:hAnsi="仿宋" w:eastAsia="仿宋_GB2312" w:cs="仿宋"/>
          <w:kern w:val="0"/>
          <w:sz w:val="32"/>
          <w:szCs w:val="32"/>
        </w:rPr>
        <w:t>。与上年决算相比，增加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不存在此项内容</w:t>
      </w:r>
      <w:r>
        <w:rPr>
          <w:rFonts w:hint="eastAsia" w:ascii="仿宋_GB2312" w:hAnsi="仿宋" w:eastAsia="仿宋_GB2312" w:cs="仿宋"/>
          <w:kern w:val="0"/>
          <w:sz w:val="32"/>
          <w:szCs w:val="32"/>
        </w:rPr>
        <w:t>。</w:t>
      </w:r>
    </w:p>
    <w:p w14:paraId="4CCE0FC0">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3.</w:t>
      </w:r>
      <w:r>
        <w:rPr>
          <w:rFonts w:hint="eastAsia" w:ascii="仿宋_GB2312" w:hAnsi="仿宋" w:eastAsia="仿宋_GB2312" w:cs="仿宋"/>
          <w:kern w:val="0"/>
          <w:sz w:val="32"/>
          <w:szCs w:val="32"/>
        </w:rPr>
        <w:t>年末结转和结余</w:t>
      </w:r>
      <w:r>
        <w:rPr>
          <w:rFonts w:eastAsia="仿宋_GB2312"/>
          <w:kern w:val="0"/>
          <w:sz w:val="32"/>
          <w:szCs w:val="32"/>
        </w:rPr>
        <w:t>1.04</w:t>
      </w:r>
      <w:r>
        <w:rPr>
          <w:rFonts w:hint="eastAsia" w:ascii="仿宋_GB2312" w:hAnsi="仿宋" w:eastAsia="仿宋_GB2312" w:cs="仿宋"/>
          <w:kern w:val="0"/>
          <w:sz w:val="32"/>
          <w:szCs w:val="32"/>
        </w:rPr>
        <w:t>万元。结转和结余事项：与上年决算相比，增加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此项结转为项目结转</w:t>
      </w:r>
      <w:r>
        <w:rPr>
          <w:rFonts w:hint="eastAsia" w:ascii="仿宋_GB2312" w:hAnsi="仿宋" w:eastAsia="仿宋_GB2312" w:cs="仿宋"/>
          <w:kern w:val="0"/>
          <w:sz w:val="32"/>
          <w:szCs w:val="32"/>
        </w:rPr>
        <w:t>。</w:t>
      </w:r>
    </w:p>
    <w:p w14:paraId="547DDF8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二、收入决算情况说明</w:t>
      </w:r>
    </w:p>
    <w:p w14:paraId="10F29A4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年度本年收入决算合计</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820.72</w:t>
      </w:r>
      <w:r>
        <w:rPr>
          <w:rFonts w:hint="eastAsia" w:ascii="仿宋_GB2312" w:hAnsi="仿宋" w:eastAsia="仿宋_GB2312" w:cs="仿宋"/>
          <w:kern w:val="0"/>
          <w:sz w:val="32"/>
          <w:szCs w:val="32"/>
        </w:rPr>
        <w:t>万元，其中：</w:t>
      </w:r>
    </w:p>
    <w:p w14:paraId="2C629BC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一般公共预算财政拨款收入</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820.72</w:t>
      </w:r>
      <w:r>
        <w:rPr>
          <w:rFonts w:hint="eastAsia" w:ascii="仿宋_GB2312" w:hAnsi="仿宋" w:eastAsia="仿宋_GB2312" w:cs="仿宋"/>
          <w:kern w:val="0"/>
          <w:sz w:val="32"/>
          <w:szCs w:val="32"/>
        </w:rPr>
        <w:t>万元，占</w:t>
      </w:r>
      <w:r>
        <w:rPr>
          <w:rFonts w:eastAsia="仿宋_GB2312"/>
          <w:kern w:val="0"/>
          <w:sz w:val="32"/>
          <w:szCs w:val="32"/>
        </w:rPr>
        <w:t>100.00%</w:t>
      </w:r>
      <w:r>
        <w:rPr>
          <w:rFonts w:hint="eastAsia" w:ascii="仿宋_GB2312" w:hAnsi="仿宋" w:eastAsia="仿宋_GB2312" w:cs="仿宋"/>
          <w:kern w:val="0"/>
          <w:sz w:val="32"/>
          <w:szCs w:val="32"/>
        </w:rPr>
        <w:t>；</w:t>
      </w:r>
    </w:p>
    <w:p w14:paraId="5EAD80E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政府性基金预算财政拨款收入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3C87727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国有资本经营预算财政拨款收入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634D113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上级补助收入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3CE2C67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事业收入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08FECBF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经营收入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7176FD3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附属单位上缴收入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2AE1DBC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eastAsia="Times New Roman"/>
          <w:kern w:val="0"/>
          <w:sz w:val="24"/>
        </w:rPr>
      </w:pPr>
      <w:r>
        <w:rPr>
          <w:rFonts w:hint="eastAsia" w:ascii="仿宋_GB2312" w:hAnsi="仿宋" w:eastAsia="仿宋_GB2312" w:cs="仿宋"/>
          <w:kern w:val="0"/>
          <w:sz w:val="32"/>
          <w:szCs w:val="32"/>
        </w:rPr>
        <w:t>其他收入</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lang w:eastAsia="en-US"/>
        </w:rPr>
        <w:t>%</w:t>
      </w:r>
      <w:r>
        <w:rPr>
          <w:rFonts w:hint="eastAsia" w:ascii="仿宋_GB2312" w:hAnsi="仿宋" w:eastAsia="仿宋_GB2312" w:cs="仿宋"/>
          <w:kern w:val="0"/>
          <w:sz w:val="32"/>
          <w:szCs w:val="32"/>
        </w:rPr>
        <w:t>。</w:t>
      </w:r>
    </w:p>
    <w:p w14:paraId="42D9B4E7">
      <w:pPr>
        <w:keepNext w:val="0"/>
        <w:keepLines w:val="0"/>
        <w:pageBreakBefore w:val="0"/>
        <w:widowControl/>
        <w:kinsoku/>
        <w:wordWrap/>
        <w:overflowPunct/>
        <w:topLinePunct w:val="0"/>
        <w:autoSpaceDE/>
        <w:autoSpaceDN/>
        <w:bidi w:val="0"/>
        <w:adjustRightInd/>
        <w:snapToGrid/>
        <w:spacing w:before="240" w:after="240"/>
        <w:jc w:val="both"/>
        <w:textAlignment w:val="auto"/>
        <w:rPr>
          <w:rFonts w:eastAsia="Times New Roman"/>
          <w:kern w:val="0"/>
          <w:sz w:val="24"/>
        </w:rPr>
      </w:pPr>
      <w:r>
        <w:rPr>
          <w:rFonts w:eastAsia="Times New Roman"/>
          <w:kern w:val="0"/>
          <w:sz w:val="24"/>
        </w:rPr>
        <w:drawing>
          <wp:inline distT="0" distB="0" distL="114300" distR="114300">
            <wp:extent cx="4784725" cy="2806065"/>
            <wp:effectExtent l="4445" t="5080" r="11430"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rFonts w:eastAsia="Times New Roman"/>
          <w:kern w:val="0"/>
          <w:sz w:val="24"/>
        </w:rPr>
        <w:t xml:space="preserve"> </w:t>
      </w:r>
    </w:p>
    <w:p w14:paraId="1AA24E33">
      <w:pPr>
        <w:keepNext w:val="0"/>
        <w:keepLines w:val="0"/>
        <w:pageBreakBefore w:val="0"/>
        <w:widowControl/>
        <w:kinsoku/>
        <w:wordWrap/>
        <w:overflowPunct/>
        <w:topLinePunct w:val="0"/>
        <w:autoSpaceDE/>
        <w:autoSpaceDN/>
        <w:bidi w:val="0"/>
        <w:adjustRightInd/>
        <w:snapToGrid/>
        <w:spacing w:before="240" w:after="240"/>
        <w:jc w:val="center"/>
        <w:textAlignment w:val="auto"/>
        <w:rPr>
          <w:rFonts w:eastAsia="Times New Roman"/>
          <w:kern w:val="0"/>
          <w:sz w:val="24"/>
        </w:rPr>
      </w:pPr>
      <w:r>
        <w:rPr>
          <w:rFonts w:hint="eastAsia" w:ascii="仿宋_GB2312" w:hAnsi="仿宋" w:eastAsia="仿宋_GB2312" w:cs="仿宋"/>
          <w:kern w:val="0"/>
          <w:sz w:val="32"/>
          <w:szCs w:val="32"/>
        </w:rPr>
        <w:t>图</w:t>
      </w:r>
      <w:r>
        <w:rPr>
          <w:rFonts w:eastAsia="times_new_roman"/>
          <w:kern w:val="0"/>
          <w:sz w:val="32"/>
          <w:szCs w:val="32"/>
        </w:rPr>
        <w:t>1</w:t>
      </w:r>
      <w:r>
        <w:rPr>
          <w:rFonts w:eastAsia="仿宋"/>
          <w:kern w:val="0"/>
          <w:sz w:val="32"/>
          <w:szCs w:val="32"/>
        </w:rPr>
        <w:t>.</w:t>
      </w:r>
      <w:r>
        <w:rPr>
          <w:rFonts w:hint="eastAsia" w:ascii="仿宋_GB2312" w:hAnsi="仿宋" w:eastAsia="仿宋_GB2312" w:cs="仿宋"/>
          <w:kern w:val="0"/>
          <w:sz w:val="32"/>
          <w:szCs w:val="32"/>
        </w:rPr>
        <w:t>收入决算图</w:t>
      </w:r>
    </w:p>
    <w:p w14:paraId="0DEB732C">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三、支出决算情况说明</w:t>
      </w:r>
    </w:p>
    <w:p w14:paraId="70A5C5C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年度本年支出决算合计</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820.72</w:t>
      </w:r>
      <w:r>
        <w:rPr>
          <w:rFonts w:hint="eastAsia" w:ascii="仿宋_GB2312" w:hAnsi="仿宋" w:eastAsia="仿宋_GB2312" w:cs="仿宋"/>
          <w:kern w:val="0"/>
          <w:sz w:val="32"/>
          <w:szCs w:val="32"/>
        </w:rPr>
        <w:t>万元，其中：</w:t>
      </w:r>
    </w:p>
    <w:p w14:paraId="56A7A488">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基本支出</w:t>
      </w:r>
      <w:r>
        <w:rPr>
          <w:rFonts w:eastAsia="仿宋_GB2312"/>
          <w:kern w:val="0"/>
          <w:sz w:val="32"/>
          <w:szCs w:val="32"/>
        </w:rPr>
        <w:t>1</w:t>
      </w:r>
      <w:r>
        <w:rPr>
          <w:rFonts w:hint="eastAsia" w:eastAsia="仿宋_GB2312"/>
          <w:kern w:val="0"/>
          <w:sz w:val="32"/>
          <w:szCs w:val="32"/>
        </w:rPr>
        <w:t>,</w:t>
      </w:r>
      <w:r>
        <w:rPr>
          <w:rFonts w:eastAsia="仿宋_GB2312"/>
          <w:kern w:val="0"/>
          <w:sz w:val="32"/>
          <w:szCs w:val="32"/>
        </w:rPr>
        <w:t>756.72</w:t>
      </w:r>
      <w:r>
        <w:rPr>
          <w:rFonts w:hint="eastAsia" w:ascii="仿宋_GB2312" w:hAnsi="仿宋" w:eastAsia="仿宋_GB2312" w:cs="仿宋"/>
          <w:kern w:val="0"/>
          <w:sz w:val="32"/>
          <w:szCs w:val="32"/>
        </w:rPr>
        <w:t>万元，占</w:t>
      </w:r>
      <w:r>
        <w:rPr>
          <w:rFonts w:eastAsia="仿宋_GB2312"/>
          <w:kern w:val="0"/>
          <w:sz w:val="32"/>
          <w:szCs w:val="32"/>
        </w:rPr>
        <w:t>96.48%</w:t>
      </w:r>
      <w:r>
        <w:rPr>
          <w:rFonts w:hint="eastAsia" w:ascii="仿宋_GB2312" w:hAnsi="仿宋" w:eastAsia="仿宋_GB2312" w:cs="仿宋"/>
          <w:kern w:val="0"/>
          <w:sz w:val="32"/>
          <w:szCs w:val="32"/>
        </w:rPr>
        <w:t>；</w:t>
      </w:r>
    </w:p>
    <w:p w14:paraId="6AA971C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项目支出</w:t>
      </w:r>
      <w:r>
        <w:rPr>
          <w:rFonts w:eastAsia="仿宋_GB2312"/>
          <w:kern w:val="0"/>
          <w:sz w:val="32"/>
          <w:szCs w:val="32"/>
        </w:rPr>
        <w:t>64.00</w:t>
      </w:r>
      <w:r>
        <w:rPr>
          <w:rFonts w:hint="eastAsia" w:ascii="仿宋_GB2312" w:hAnsi="仿宋" w:eastAsia="仿宋_GB2312" w:cs="仿宋"/>
          <w:kern w:val="0"/>
          <w:sz w:val="32"/>
          <w:szCs w:val="32"/>
        </w:rPr>
        <w:t>万元，占</w:t>
      </w:r>
      <w:r>
        <w:rPr>
          <w:rFonts w:eastAsia="仿宋_GB2312"/>
          <w:kern w:val="0"/>
          <w:sz w:val="32"/>
          <w:szCs w:val="32"/>
        </w:rPr>
        <w:t>3.52%</w:t>
      </w:r>
      <w:r>
        <w:rPr>
          <w:rFonts w:hint="eastAsia" w:ascii="仿宋_GB2312" w:hAnsi="仿宋" w:eastAsia="仿宋_GB2312" w:cs="仿宋"/>
          <w:kern w:val="0"/>
          <w:sz w:val="32"/>
          <w:szCs w:val="32"/>
        </w:rPr>
        <w:t>；</w:t>
      </w:r>
    </w:p>
    <w:p w14:paraId="33594973">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上缴上级支出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4F2D4CA9">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经营支出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70E7C34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对附属单位补助支出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p>
    <w:p w14:paraId="0CB75C16">
      <w:pPr>
        <w:keepNext w:val="0"/>
        <w:keepLines w:val="0"/>
        <w:pageBreakBefore w:val="0"/>
        <w:widowControl/>
        <w:kinsoku/>
        <w:wordWrap/>
        <w:overflowPunct/>
        <w:topLinePunct w:val="0"/>
        <w:autoSpaceDE/>
        <w:autoSpaceDN/>
        <w:bidi w:val="0"/>
        <w:adjustRightInd/>
        <w:snapToGrid/>
        <w:spacing w:before="240" w:after="240"/>
        <w:jc w:val="both"/>
        <w:textAlignment w:val="auto"/>
        <w:rPr>
          <w:rFonts w:eastAsia="Times New Roman"/>
          <w:kern w:val="0"/>
          <w:sz w:val="24"/>
        </w:rPr>
      </w:pPr>
      <w:r>
        <w:rPr>
          <w:rFonts w:eastAsia="Times New Roman"/>
          <w:kern w:val="0"/>
          <w:sz w:val="24"/>
        </w:rPr>
        <w:drawing>
          <wp:inline distT="0" distB="0" distL="114300" distR="114300">
            <wp:extent cx="4867910" cy="2851150"/>
            <wp:effectExtent l="4445" t="4445" r="1968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rFonts w:eastAsia="Times New Roman"/>
          <w:kern w:val="0"/>
          <w:sz w:val="24"/>
        </w:rPr>
        <w:t xml:space="preserve"> </w:t>
      </w:r>
    </w:p>
    <w:p w14:paraId="1BEA1308">
      <w:pPr>
        <w:keepNext w:val="0"/>
        <w:keepLines w:val="0"/>
        <w:pageBreakBefore w:val="0"/>
        <w:widowControl/>
        <w:kinsoku/>
        <w:wordWrap/>
        <w:overflowPunct/>
        <w:topLinePunct w:val="0"/>
        <w:autoSpaceDE/>
        <w:autoSpaceDN/>
        <w:bidi w:val="0"/>
        <w:adjustRightInd/>
        <w:snapToGrid/>
        <w:spacing w:before="240" w:after="240"/>
        <w:jc w:val="center"/>
        <w:textAlignment w:val="auto"/>
        <w:rPr>
          <w:rFonts w:ascii="仿宋_GB2312" w:eastAsia="仿宋_GB2312"/>
          <w:kern w:val="0"/>
          <w:sz w:val="32"/>
          <w:szCs w:val="32"/>
        </w:rPr>
      </w:pPr>
      <w:r>
        <w:rPr>
          <w:rFonts w:hint="eastAsia" w:ascii="仿宋_GB2312" w:hAnsi="仿宋" w:eastAsia="仿宋_GB2312" w:cs="仿宋"/>
          <w:kern w:val="0"/>
          <w:sz w:val="32"/>
          <w:szCs w:val="32"/>
        </w:rPr>
        <w:t>图</w:t>
      </w:r>
      <w:r>
        <w:rPr>
          <w:rFonts w:eastAsia="仿宋"/>
          <w:kern w:val="0"/>
          <w:sz w:val="32"/>
          <w:szCs w:val="32"/>
        </w:rPr>
        <w:t>2.</w:t>
      </w:r>
      <w:r>
        <w:rPr>
          <w:rFonts w:hint="eastAsia" w:ascii="仿宋_GB2312" w:hAnsi="仿宋" w:eastAsia="仿宋_GB2312" w:cs="仿宋"/>
          <w:kern w:val="0"/>
          <w:sz w:val="32"/>
          <w:szCs w:val="32"/>
        </w:rPr>
        <w:t>支出决算图</w:t>
      </w:r>
    </w:p>
    <w:p w14:paraId="20A9296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四、财政拨款收入支出决算总体情况说明</w:t>
      </w:r>
    </w:p>
    <w:p w14:paraId="3AC8DDC8">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年度财政拨款收入、支出决算总计均为</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821.77</w:t>
      </w:r>
      <w:r>
        <w:rPr>
          <w:rFonts w:hint="eastAsia" w:ascii="仿宋_GB2312" w:hAnsi="仿宋" w:eastAsia="仿宋_GB2312" w:cs="仿宋"/>
          <w:kern w:val="0"/>
          <w:sz w:val="32"/>
          <w:szCs w:val="32"/>
        </w:rPr>
        <w:t>万元，与年初预算相比，收、支总计各增加</w:t>
      </w:r>
      <w:r>
        <w:rPr>
          <w:rFonts w:eastAsia="仿宋_GB2312"/>
          <w:kern w:val="0"/>
          <w:sz w:val="32"/>
          <w:szCs w:val="32"/>
        </w:rPr>
        <w:t>38.14</w:t>
      </w:r>
      <w:r>
        <w:rPr>
          <w:rFonts w:hint="eastAsia" w:ascii="仿宋_GB2312" w:hAnsi="仿宋" w:eastAsia="仿宋_GB2312" w:cs="仿宋"/>
          <w:kern w:val="0"/>
          <w:sz w:val="32"/>
          <w:szCs w:val="32"/>
        </w:rPr>
        <w:t>万元，增长</w:t>
      </w:r>
      <w:r>
        <w:rPr>
          <w:rFonts w:eastAsia="仿宋_GB2312"/>
          <w:kern w:val="0"/>
          <w:sz w:val="32"/>
          <w:szCs w:val="32"/>
        </w:rPr>
        <w:t>2.14%</w:t>
      </w:r>
      <w:r>
        <w:rPr>
          <w:rFonts w:hint="eastAsia" w:ascii="仿宋_GB2312" w:hAnsi="仿宋" w:eastAsia="仿宋_GB2312" w:cs="仿宋"/>
          <w:kern w:val="0"/>
          <w:sz w:val="32"/>
          <w:szCs w:val="32"/>
        </w:rPr>
        <w:t>，变动原因</w:t>
      </w:r>
      <w:r>
        <w:rPr>
          <w:rFonts w:hint="eastAsia" w:ascii="仿宋_GB2312" w:eastAsia="仿宋_GB2312" w:cs="仿宋" w:hAnsiTheme="minorEastAsia"/>
          <w:kern w:val="0"/>
          <w:sz w:val="32"/>
          <w:szCs w:val="32"/>
        </w:rPr>
        <w:t>：</w:t>
      </w:r>
      <w:r>
        <w:rPr>
          <w:rFonts w:eastAsia="仿宋_GB2312"/>
          <w:color w:val="000000"/>
          <w:kern w:val="76"/>
          <w:sz w:val="32"/>
          <w:szCs w:val="32"/>
        </w:rPr>
        <w:t>2025</w:t>
      </w:r>
      <w:r>
        <w:rPr>
          <w:rFonts w:hint="eastAsia" w:ascii="仿宋_GB2312" w:eastAsia="仿宋_GB2312"/>
          <w:color w:val="000000"/>
          <w:kern w:val="76"/>
          <w:sz w:val="32"/>
          <w:szCs w:val="32"/>
        </w:rPr>
        <w:t>年我单位新增在职人员，导致人员经费增加</w:t>
      </w:r>
      <w:r>
        <w:rPr>
          <w:rFonts w:hint="eastAsia" w:ascii="仿宋_GB2312" w:hAnsi="仿宋" w:eastAsia="仿宋_GB2312" w:cs="仿宋"/>
          <w:kern w:val="0"/>
          <w:sz w:val="32"/>
          <w:szCs w:val="32"/>
        </w:rPr>
        <w:t>；与上年决算相比，收、支总计各增加</w:t>
      </w:r>
      <w:r>
        <w:rPr>
          <w:rFonts w:eastAsia="仿宋_GB2312"/>
          <w:kern w:val="0"/>
          <w:sz w:val="32"/>
          <w:szCs w:val="32"/>
        </w:rPr>
        <w:t>47.61</w:t>
      </w:r>
      <w:r>
        <w:rPr>
          <w:rFonts w:hint="eastAsia" w:ascii="仿宋_GB2312" w:hAnsi="仿宋" w:eastAsia="仿宋_GB2312" w:cs="仿宋"/>
          <w:kern w:val="0"/>
          <w:sz w:val="32"/>
          <w:szCs w:val="32"/>
        </w:rPr>
        <w:t>万元，增长</w:t>
      </w:r>
      <w:r>
        <w:rPr>
          <w:rFonts w:eastAsia="仿宋_GB2312"/>
          <w:kern w:val="0"/>
          <w:sz w:val="32"/>
          <w:szCs w:val="32"/>
        </w:rPr>
        <w:t>2.68%</w:t>
      </w:r>
      <w:r>
        <w:rPr>
          <w:rFonts w:hint="eastAsia" w:ascii="仿宋_GB2312" w:hAnsi="仿宋" w:eastAsia="仿宋_GB2312" w:cs="仿宋"/>
          <w:kern w:val="0"/>
          <w:sz w:val="32"/>
          <w:szCs w:val="32"/>
        </w:rPr>
        <w:t>，变动原因：</w:t>
      </w:r>
      <w:r>
        <w:rPr>
          <w:rFonts w:eastAsia="仿宋_GB2312"/>
          <w:color w:val="000000"/>
          <w:kern w:val="76"/>
          <w:sz w:val="32"/>
          <w:szCs w:val="32"/>
        </w:rPr>
        <w:t>2025</w:t>
      </w:r>
      <w:r>
        <w:rPr>
          <w:rFonts w:hint="eastAsia" w:ascii="仿宋_GB2312" w:eastAsia="仿宋_GB2312"/>
          <w:color w:val="000000"/>
          <w:kern w:val="76"/>
          <w:sz w:val="32"/>
          <w:szCs w:val="32"/>
        </w:rPr>
        <w:t>年我单位新增在职人员，人员经费增加</w:t>
      </w:r>
      <w:r>
        <w:rPr>
          <w:rFonts w:hint="eastAsia" w:ascii="仿宋_GB2312" w:hAnsi="仿宋" w:eastAsia="仿宋_GB2312" w:cs="仿宋"/>
          <w:kern w:val="0"/>
          <w:sz w:val="32"/>
          <w:szCs w:val="32"/>
        </w:rPr>
        <w:t>。</w:t>
      </w:r>
    </w:p>
    <w:p w14:paraId="29C749A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五、一般公共预算财政拨款支出决算情况说明</w:t>
      </w:r>
    </w:p>
    <w:p w14:paraId="20268C9C">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年度一般公共预算财政拨款支出决算</w:t>
      </w:r>
      <w:r>
        <w:rPr>
          <w:rFonts w:eastAsia="仿宋_GB2312"/>
          <w:kern w:val="0"/>
          <w:sz w:val="32"/>
          <w:szCs w:val="32"/>
        </w:rPr>
        <w:t>1</w:t>
      </w:r>
      <w:r>
        <w:rPr>
          <w:rFonts w:hint="eastAsia" w:eastAsia="仿宋_GB2312"/>
          <w:kern w:val="0"/>
          <w:sz w:val="32"/>
          <w:szCs w:val="32"/>
        </w:rPr>
        <w:t>,</w:t>
      </w:r>
      <w:r>
        <w:rPr>
          <w:rFonts w:eastAsia="仿宋_GB2312"/>
          <w:kern w:val="0"/>
          <w:sz w:val="32"/>
          <w:szCs w:val="32"/>
        </w:rPr>
        <w:t>820.72</w:t>
      </w:r>
      <w:r>
        <w:rPr>
          <w:rFonts w:hint="eastAsia" w:ascii="仿宋_GB2312" w:hAnsi="仿宋" w:eastAsia="仿宋_GB2312" w:cs="仿宋"/>
          <w:kern w:val="0"/>
          <w:sz w:val="32"/>
          <w:szCs w:val="32"/>
        </w:rPr>
        <w:t>万元。与年初预算</w:t>
      </w:r>
      <w:r>
        <w:rPr>
          <w:rFonts w:hint="eastAsia" w:ascii="仿宋_GB2312" w:eastAsia="仿宋_GB2312"/>
          <w:kern w:val="0"/>
          <w:sz w:val="32"/>
          <w:szCs w:val="32"/>
          <w:u w:val="single"/>
        </w:rPr>
        <w:t xml:space="preserve"> </w:t>
      </w:r>
      <w:r>
        <w:rPr>
          <w:rFonts w:eastAsia="仿宋_GB2312"/>
          <w:kern w:val="0"/>
          <w:sz w:val="32"/>
          <w:szCs w:val="32"/>
        </w:rPr>
        <w:t>1</w:t>
      </w:r>
      <w:r>
        <w:rPr>
          <w:rFonts w:hint="eastAsia" w:eastAsia="仿宋_GB2312"/>
          <w:kern w:val="0"/>
          <w:sz w:val="32"/>
          <w:szCs w:val="32"/>
        </w:rPr>
        <w:t>,</w:t>
      </w:r>
      <w:r>
        <w:rPr>
          <w:rFonts w:eastAsia="仿宋_GB2312"/>
          <w:kern w:val="0"/>
          <w:sz w:val="32"/>
          <w:szCs w:val="32"/>
        </w:rPr>
        <w:t>783.63</w:t>
      </w:r>
      <w:r>
        <w:rPr>
          <w:rFonts w:hint="eastAsia" w:ascii="仿宋_GB2312" w:hAnsi="仿宋" w:eastAsia="仿宋_GB2312" w:cs="仿宋"/>
          <w:kern w:val="0"/>
          <w:sz w:val="32"/>
          <w:szCs w:val="32"/>
        </w:rPr>
        <w:t>万元相比，完成年初预算的</w:t>
      </w:r>
      <w:r>
        <w:rPr>
          <w:rFonts w:eastAsia="仿宋_GB2312"/>
          <w:kern w:val="0"/>
          <w:sz w:val="32"/>
          <w:szCs w:val="32"/>
        </w:rPr>
        <w:t>102.08%</w:t>
      </w:r>
      <w:r>
        <w:rPr>
          <w:rFonts w:hint="eastAsia" w:ascii="仿宋_GB2312" w:hAnsi="仿宋" w:eastAsia="仿宋_GB2312" w:cs="仿宋"/>
          <w:kern w:val="0"/>
          <w:sz w:val="32"/>
          <w:szCs w:val="32"/>
        </w:rPr>
        <w:t>。其中：</w:t>
      </w:r>
    </w:p>
    <w:p w14:paraId="1F97A3B8">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w:t>
      </w:r>
      <w:r>
        <w:rPr>
          <w:rFonts w:hint="eastAsia" w:ascii="楷体_GB2312" w:eastAsia="楷体_GB2312" w:cs="楷体" w:hAnsiTheme="minorEastAsia"/>
          <w:b/>
          <w:bCs/>
          <w:kern w:val="0"/>
          <w:sz w:val="32"/>
          <w:szCs w:val="32"/>
        </w:rPr>
        <w:t>一</w:t>
      </w:r>
      <w:r>
        <w:rPr>
          <w:rFonts w:hint="eastAsia" w:ascii="楷体_GB2312" w:hAnsi="楷体" w:eastAsia="楷体_GB2312" w:cs="楷体"/>
          <w:b/>
          <w:bCs/>
          <w:kern w:val="0"/>
          <w:sz w:val="32"/>
          <w:szCs w:val="32"/>
        </w:rPr>
        <w:t>）公共安全（类）</w:t>
      </w:r>
    </w:p>
    <w:p w14:paraId="22A1E15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公共安全（类）决算数为</w:t>
      </w:r>
      <w:r>
        <w:rPr>
          <w:rFonts w:eastAsia="仿宋_GB2312"/>
          <w:kern w:val="0"/>
          <w:sz w:val="32"/>
          <w:szCs w:val="32"/>
        </w:rPr>
        <w:t>1,340.28</w:t>
      </w:r>
      <w:r>
        <w:rPr>
          <w:rFonts w:hint="eastAsia" w:ascii="仿宋_GB2312" w:hAnsi="仿宋" w:eastAsia="仿宋_GB2312" w:cs="仿宋"/>
          <w:kern w:val="0"/>
          <w:sz w:val="32"/>
          <w:szCs w:val="32"/>
        </w:rPr>
        <w:t>万元，与年初预算相比减少</w:t>
      </w:r>
      <w:r>
        <w:rPr>
          <w:rFonts w:eastAsia="仿宋_GB2312"/>
          <w:kern w:val="0"/>
          <w:sz w:val="32"/>
          <w:szCs w:val="32"/>
        </w:rPr>
        <w:t>5.55万</w:t>
      </w:r>
      <w:r>
        <w:rPr>
          <w:rFonts w:hint="eastAsia" w:ascii="仿宋_GB2312" w:hAnsi="仿宋" w:eastAsia="仿宋_GB2312" w:cs="仿宋"/>
          <w:kern w:val="0"/>
          <w:sz w:val="32"/>
          <w:szCs w:val="32"/>
        </w:rPr>
        <w:t>元。其中：</w:t>
      </w:r>
    </w:p>
    <w:p w14:paraId="1654B86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1．</w:t>
      </w:r>
      <w:r>
        <w:rPr>
          <w:rFonts w:hint="eastAsia" w:ascii="仿宋_GB2312" w:hAnsi="仿宋" w:eastAsia="仿宋_GB2312" w:cs="仿宋"/>
          <w:kern w:val="0"/>
          <w:sz w:val="32"/>
          <w:szCs w:val="32"/>
        </w:rPr>
        <w:t>公安（款）行政运行（项）。年初预算</w:t>
      </w:r>
      <w:r>
        <w:rPr>
          <w:rFonts w:eastAsia="仿宋_GB2312"/>
          <w:kern w:val="0"/>
          <w:sz w:val="32"/>
          <w:szCs w:val="32"/>
        </w:rPr>
        <w:t>1,289.85</w:t>
      </w:r>
      <w:r>
        <w:rPr>
          <w:rFonts w:hint="eastAsia" w:ascii="仿宋_GB2312" w:hAnsi="仿宋" w:eastAsia="仿宋_GB2312" w:cs="仿宋"/>
          <w:kern w:val="0"/>
          <w:sz w:val="32"/>
          <w:szCs w:val="32"/>
        </w:rPr>
        <w:t>万元，支出决算</w:t>
      </w:r>
      <w:r>
        <w:rPr>
          <w:rFonts w:eastAsia="仿宋_GB2312"/>
          <w:kern w:val="0"/>
          <w:sz w:val="32"/>
          <w:szCs w:val="32"/>
        </w:rPr>
        <w:t>1,265.30</w:t>
      </w:r>
      <w:r>
        <w:rPr>
          <w:rFonts w:hint="eastAsia" w:ascii="仿宋_GB2312" w:hAnsi="仿宋" w:eastAsia="仿宋_GB2312" w:cs="仿宋"/>
          <w:kern w:val="0"/>
          <w:sz w:val="32"/>
          <w:szCs w:val="32"/>
        </w:rPr>
        <w:t>万元，完成年初预算的</w:t>
      </w:r>
      <w:r>
        <w:rPr>
          <w:rFonts w:eastAsia="仿宋_GB2312"/>
          <w:kern w:val="0"/>
          <w:sz w:val="32"/>
          <w:szCs w:val="32"/>
        </w:rPr>
        <w:t>98.10%</w:t>
      </w:r>
      <w:r>
        <w:rPr>
          <w:rFonts w:hint="eastAsia" w:ascii="仿宋_GB2312" w:hAnsi="仿宋" w:eastAsia="仿宋_GB2312" w:cs="仿宋"/>
          <w:kern w:val="0"/>
          <w:sz w:val="32"/>
          <w:szCs w:val="32"/>
        </w:rPr>
        <w:t>。决算数与年初预算数的差异原因：</w:t>
      </w:r>
      <w:r>
        <w:rPr>
          <w:rFonts w:hint="eastAsia" w:ascii="仿宋_GB2312" w:eastAsia="仿宋_GB2312"/>
          <w:kern w:val="0"/>
          <w:sz w:val="32"/>
          <w:szCs w:val="32"/>
        </w:rPr>
        <w:t>我单位</w:t>
      </w:r>
      <w:r>
        <w:rPr>
          <w:rFonts w:eastAsia="仿宋_GB2312"/>
          <w:kern w:val="0"/>
          <w:sz w:val="32"/>
          <w:szCs w:val="32"/>
        </w:rPr>
        <w:t>2025</w:t>
      </w:r>
      <w:r>
        <w:rPr>
          <w:rFonts w:hint="eastAsia" w:ascii="仿宋_GB2312" w:eastAsia="仿宋_GB2312"/>
          <w:kern w:val="0"/>
          <w:sz w:val="32"/>
          <w:szCs w:val="32"/>
        </w:rPr>
        <w:t>年在职转退休</w:t>
      </w:r>
      <w:r>
        <w:rPr>
          <w:rFonts w:eastAsia="仿宋_GB2312"/>
          <w:kern w:val="0"/>
          <w:sz w:val="32"/>
          <w:szCs w:val="32"/>
        </w:rPr>
        <w:t>2</w:t>
      </w:r>
      <w:r>
        <w:rPr>
          <w:rFonts w:hint="eastAsia" w:ascii="仿宋_GB2312" w:eastAsia="仿宋_GB2312"/>
          <w:kern w:val="0"/>
          <w:sz w:val="32"/>
          <w:szCs w:val="32"/>
        </w:rPr>
        <w:t>人，</w:t>
      </w:r>
      <w:r>
        <w:rPr>
          <w:rFonts w:hint="eastAsia" w:ascii="仿宋_GB2312" w:eastAsia="仿宋_GB2312"/>
          <w:kern w:val="0"/>
          <w:sz w:val="32"/>
          <w:szCs w:val="32"/>
          <w:highlight w:val="none"/>
        </w:rPr>
        <w:t>因此</w:t>
      </w:r>
      <w:r>
        <w:rPr>
          <w:rFonts w:hint="eastAsia" w:ascii="仿宋_GB2312" w:eastAsia="仿宋_GB2312"/>
          <w:kern w:val="0"/>
          <w:sz w:val="32"/>
          <w:szCs w:val="32"/>
          <w:highlight w:val="none"/>
          <w:lang w:val="en-US" w:eastAsia="zh-CN"/>
        </w:rPr>
        <w:t>行政运行</w:t>
      </w:r>
      <w:r>
        <w:rPr>
          <w:rFonts w:hint="eastAsia" w:ascii="仿宋_GB2312" w:eastAsia="仿宋_GB2312"/>
          <w:kern w:val="0"/>
          <w:sz w:val="32"/>
          <w:szCs w:val="32"/>
          <w:highlight w:val="none"/>
        </w:rPr>
        <w:t>支出减少</w:t>
      </w:r>
      <w:r>
        <w:rPr>
          <w:rFonts w:hint="eastAsia" w:ascii="仿宋_GB2312" w:hAnsi="仿宋" w:eastAsia="仿宋_GB2312" w:cs="仿宋"/>
          <w:kern w:val="0"/>
          <w:sz w:val="32"/>
          <w:szCs w:val="32"/>
          <w:highlight w:val="none"/>
        </w:rPr>
        <w:t>。</w:t>
      </w:r>
    </w:p>
    <w:p w14:paraId="59AEF8A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2．</w:t>
      </w:r>
      <w:r>
        <w:rPr>
          <w:rFonts w:hint="eastAsia" w:ascii="仿宋_GB2312" w:eastAsia="仿宋_GB2312"/>
          <w:kern w:val="0"/>
          <w:sz w:val="32"/>
          <w:szCs w:val="32"/>
        </w:rPr>
        <w:t>公安（款）一般行政管理事务（项）。年初预算</w:t>
      </w:r>
      <w:r>
        <w:rPr>
          <w:rFonts w:eastAsia="仿宋_GB2312"/>
          <w:kern w:val="0"/>
          <w:sz w:val="32"/>
          <w:szCs w:val="32"/>
        </w:rPr>
        <w:t>55.98</w:t>
      </w:r>
      <w:r>
        <w:rPr>
          <w:rFonts w:hint="eastAsia" w:ascii="仿宋_GB2312" w:eastAsia="仿宋_GB2312"/>
          <w:kern w:val="0"/>
          <w:sz w:val="32"/>
          <w:szCs w:val="32"/>
        </w:rPr>
        <w:t>万元，支出决算</w:t>
      </w:r>
      <w:r>
        <w:rPr>
          <w:rFonts w:eastAsia="仿宋_GB2312"/>
          <w:kern w:val="0"/>
          <w:sz w:val="32"/>
          <w:szCs w:val="32"/>
        </w:rPr>
        <w:t>74.8</w:t>
      </w:r>
      <w:r>
        <w:rPr>
          <w:rFonts w:hint="eastAsia" w:ascii="仿宋_GB2312" w:eastAsia="仿宋_GB2312"/>
          <w:kern w:val="0"/>
          <w:sz w:val="32"/>
          <w:szCs w:val="32"/>
        </w:rPr>
        <w:t>万元，完成年初预算的</w:t>
      </w:r>
      <w:r>
        <w:rPr>
          <w:rFonts w:eastAsia="仿宋_GB2312"/>
          <w:kern w:val="0"/>
          <w:sz w:val="32"/>
          <w:szCs w:val="32"/>
        </w:rPr>
        <w:t>133.94%</w:t>
      </w:r>
      <w:r>
        <w:rPr>
          <w:rFonts w:hint="eastAsia" w:ascii="仿宋_GB2312" w:eastAsia="仿宋_GB2312"/>
          <w:kern w:val="0"/>
          <w:sz w:val="32"/>
          <w:szCs w:val="32"/>
        </w:rPr>
        <w:t>，</w:t>
      </w:r>
      <w:r>
        <w:rPr>
          <w:rFonts w:hint="eastAsia" w:ascii="仿宋_GB2312" w:hAnsi="仿宋" w:eastAsia="仿宋_GB2312" w:cs="仿宋"/>
          <w:kern w:val="0"/>
          <w:sz w:val="32"/>
          <w:szCs w:val="32"/>
        </w:rPr>
        <w:t>决算数与年初预算数的差异原因：</w:t>
      </w:r>
      <w:r>
        <w:rPr>
          <w:rFonts w:hint="eastAsia" w:ascii="仿宋_GB2312" w:eastAsia="仿宋_GB2312"/>
          <w:kern w:val="0"/>
          <w:sz w:val="32"/>
          <w:szCs w:val="32"/>
        </w:rPr>
        <w:t>我单位</w:t>
      </w:r>
      <w:r>
        <w:rPr>
          <w:rFonts w:eastAsia="仿宋_GB2312"/>
          <w:kern w:val="0"/>
          <w:sz w:val="32"/>
          <w:szCs w:val="32"/>
        </w:rPr>
        <w:t>2025</w:t>
      </w:r>
      <w:r>
        <w:rPr>
          <w:rFonts w:hint="eastAsia" w:ascii="仿宋_GB2312" w:eastAsia="仿宋_GB2312"/>
          <w:kern w:val="0"/>
          <w:sz w:val="32"/>
          <w:szCs w:val="32"/>
        </w:rPr>
        <w:t>年追加项目支出，因此一般行政管理事务</w:t>
      </w:r>
      <w:r>
        <w:rPr>
          <w:rFonts w:hint="eastAsia" w:ascii="仿宋_GB2312" w:eastAsia="仿宋_GB2312"/>
          <w:kern w:val="0"/>
          <w:sz w:val="32"/>
          <w:szCs w:val="32"/>
          <w:lang w:val="en-US" w:eastAsia="zh-CN"/>
        </w:rPr>
        <w:t>支出</w:t>
      </w:r>
      <w:r>
        <w:rPr>
          <w:rFonts w:hint="eastAsia" w:ascii="仿宋_GB2312" w:eastAsia="仿宋_GB2312"/>
          <w:kern w:val="0"/>
          <w:sz w:val="32"/>
          <w:szCs w:val="32"/>
        </w:rPr>
        <w:t>增加</w:t>
      </w:r>
      <w:r>
        <w:rPr>
          <w:rFonts w:hint="eastAsia" w:ascii="仿宋_GB2312" w:hAnsi="仿宋" w:eastAsia="仿宋_GB2312" w:cs="仿宋"/>
          <w:kern w:val="0"/>
          <w:sz w:val="32"/>
          <w:szCs w:val="32"/>
        </w:rPr>
        <w:t>。</w:t>
      </w:r>
    </w:p>
    <w:p w14:paraId="3F3EE88A">
      <w:pPr>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（二）社会保障和就业支出（类）</w:t>
      </w:r>
    </w:p>
    <w:p w14:paraId="0A28AEED">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eastAsia="Times New Roman"/>
          <w:kern w:val="0"/>
          <w:sz w:val="24"/>
        </w:rPr>
      </w:pPr>
      <w:r>
        <w:rPr>
          <w:rFonts w:ascii="仿宋" w:hAnsi="仿宋" w:eastAsia="仿宋" w:cs="仿宋"/>
          <w:kern w:val="0"/>
          <w:sz w:val="32"/>
          <w:szCs w:val="32"/>
        </w:rPr>
        <w:t>社会保障和就业支出（类）决算数为</w:t>
      </w:r>
      <w:r>
        <w:rPr>
          <w:rFonts w:eastAsia="Times New Roman"/>
          <w:kern w:val="0"/>
          <w:sz w:val="32"/>
          <w:szCs w:val="32"/>
        </w:rPr>
        <w:t>220.99</w:t>
      </w:r>
      <w:r>
        <w:rPr>
          <w:rFonts w:ascii="仿宋" w:hAnsi="仿宋" w:eastAsia="仿宋" w:cs="仿宋"/>
          <w:kern w:val="0"/>
          <w:sz w:val="32"/>
          <w:szCs w:val="32"/>
        </w:rPr>
        <w:t>万元，与年初预算相比增加</w:t>
      </w:r>
      <w:r>
        <w:rPr>
          <w:rFonts w:eastAsia="Times New Roman"/>
          <w:kern w:val="0"/>
          <w:sz w:val="32"/>
          <w:szCs w:val="32"/>
        </w:rPr>
        <w:t>23.09</w:t>
      </w:r>
      <w:r>
        <w:rPr>
          <w:rFonts w:ascii="仿宋" w:hAnsi="仿宋" w:eastAsia="仿宋" w:cs="仿宋"/>
          <w:kern w:val="0"/>
          <w:sz w:val="32"/>
          <w:szCs w:val="32"/>
        </w:rPr>
        <w:t>万元。其中：</w:t>
      </w:r>
    </w:p>
    <w:p w14:paraId="607DE8B6">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 w:eastAsia="仿宋_GB2312" w:cs="仿宋"/>
          <w:kern w:val="0"/>
          <w:sz w:val="32"/>
          <w:szCs w:val="32"/>
        </w:rPr>
      </w:pPr>
      <w:r>
        <w:rPr>
          <w:rFonts w:hint="eastAsia" w:eastAsia="仿宋_GB2312"/>
          <w:kern w:val="0"/>
          <w:sz w:val="32"/>
          <w:szCs w:val="32"/>
          <w:lang w:val="en-US" w:eastAsia="zh-CN"/>
        </w:rPr>
        <w:t>1</w:t>
      </w:r>
      <w:r>
        <w:rPr>
          <w:rFonts w:eastAsia="仿宋_GB2312"/>
          <w:kern w:val="0"/>
          <w:sz w:val="32"/>
          <w:szCs w:val="32"/>
        </w:rPr>
        <w:t>．</w:t>
      </w:r>
      <w:r>
        <w:rPr>
          <w:rFonts w:hint="eastAsia" w:ascii="仿宋_GB2312" w:hAnsi="仿宋" w:eastAsia="仿宋_GB2312" w:cs="仿宋"/>
          <w:kern w:val="0"/>
          <w:sz w:val="32"/>
          <w:szCs w:val="32"/>
        </w:rPr>
        <w:t>行政事业单位养老支出（款）行政单</w:t>
      </w:r>
      <w:r>
        <w:rPr>
          <w:rFonts w:hint="eastAsia" w:ascii="仿宋_GB2312" w:hAnsi="仿宋" w:eastAsia="仿宋_GB2312" w:cs="仿宋"/>
          <w:kern w:val="0"/>
          <w:sz w:val="32"/>
          <w:szCs w:val="32"/>
          <w:highlight w:val="none"/>
        </w:rPr>
        <w:t>位离退</w:t>
      </w:r>
      <w:r>
        <w:rPr>
          <w:rFonts w:hint="eastAsia" w:ascii="仿宋_GB2312" w:hAnsi="仿宋" w:eastAsia="仿宋_GB2312" w:cs="仿宋"/>
          <w:kern w:val="0"/>
          <w:sz w:val="32"/>
          <w:szCs w:val="32"/>
          <w:highlight w:val="none"/>
          <w:lang w:val="en-US" w:eastAsia="zh-CN"/>
        </w:rPr>
        <w:t>休</w:t>
      </w:r>
      <w:r>
        <w:rPr>
          <w:rFonts w:hint="eastAsia" w:ascii="仿宋_GB2312" w:hAnsi="仿宋" w:eastAsia="仿宋_GB2312" w:cs="仿宋"/>
          <w:kern w:val="0"/>
          <w:sz w:val="32"/>
          <w:szCs w:val="32"/>
        </w:rPr>
        <w:t>（项）。</w:t>
      </w:r>
    </w:p>
    <w:p w14:paraId="08AC9579">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 w:eastAsia="仿宋_GB2312" w:cs="仿宋"/>
          <w:kern w:val="0"/>
          <w:sz w:val="32"/>
          <w:szCs w:val="32"/>
        </w:rPr>
      </w:pPr>
      <w:r>
        <w:rPr>
          <w:rFonts w:hint="eastAsia" w:ascii="仿宋_GB2312" w:hAnsi="仿宋" w:eastAsia="仿宋_GB2312" w:cs="仿宋"/>
          <w:kern w:val="0"/>
          <w:sz w:val="32"/>
          <w:szCs w:val="32"/>
        </w:rPr>
        <w:t>年初预算</w:t>
      </w:r>
      <w:r>
        <w:rPr>
          <w:rFonts w:eastAsia="仿宋_GB2312"/>
          <w:kern w:val="0"/>
          <w:sz w:val="32"/>
          <w:szCs w:val="32"/>
        </w:rPr>
        <w:t>45.48</w:t>
      </w:r>
      <w:r>
        <w:rPr>
          <w:rFonts w:hint="eastAsia" w:ascii="仿宋_GB2312" w:hAnsi="仿宋" w:eastAsia="仿宋_GB2312" w:cs="仿宋"/>
          <w:kern w:val="0"/>
          <w:sz w:val="32"/>
          <w:szCs w:val="32"/>
        </w:rPr>
        <w:t>万元，支出决算</w:t>
      </w:r>
      <w:r>
        <w:rPr>
          <w:rFonts w:eastAsia="仿宋_GB2312"/>
          <w:kern w:val="0"/>
          <w:sz w:val="32"/>
          <w:szCs w:val="32"/>
        </w:rPr>
        <w:t>47.86</w:t>
      </w:r>
      <w:r>
        <w:rPr>
          <w:rFonts w:hint="eastAsia" w:ascii="仿宋_GB2312" w:hAnsi="仿宋" w:eastAsia="仿宋_GB2312" w:cs="仿宋"/>
          <w:kern w:val="0"/>
          <w:sz w:val="32"/>
          <w:szCs w:val="32"/>
        </w:rPr>
        <w:t>万元，完成年初预算的</w:t>
      </w:r>
      <w:r>
        <w:rPr>
          <w:rFonts w:eastAsia="仿宋_GB2312"/>
          <w:kern w:val="0"/>
          <w:sz w:val="32"/>
          <w:szCs w:val="32"/>
        </w:rPr>
        <w:t>105.23%</w:t>
      </w:r>
      <w:r>
        <w:rPr>
          <w:rFonts w:hint="eastAsia" w:ascii="仿宋_GB2312" w:hAnsi="仿宋" w:eastAsia="仿宋_GB2312" w:cs="仿宋"/>
          <w:kern w:val="0"/>
          <w:sz w:val="32"/>
          <w:szCs w:val="32"/>
        </w:rPr>
        <w:t>。决算数与年初预算数的差异原因：</w:t>
      </w:r>
      <w:r>
        <w:rPr>
          <w:rFonts w:hint="eastAsia" w:ascii="仿宋_GB2312" w:eastAsia="仿宋_GB2312"/>
          <w:kern w:val="0"/>
          <w:sz w:val="32"/>
          <w:szCs w:val="32"/>
        </w:rPr>
        <w:t>我单位</w:t>
      </w:r>
      <w:r>
        <w:rPr>
          <w:rFonts w:eastAsia="仿宋_GB2312"/>
          <w:kern w:val="0"/>
          <w:sz w:val="32"/>
          <w:szCs w:val="32"/>
        </w:rPr>
        <w:t>2025</w:t>
      </w:r>
      <w:r>
        <w:rPr>
          <w:rFonts w:hint="eastAsia" w:ascii="仿宋_GB2312" w:eastAsia="仿宋_GB2312"/>
          <w:kern w:val="0"/>
          <w:sz w:val="32"/>
          <w:szCs w:val="32"/>
        </w:rPr>
        <w:t>年在职转退休</w:t>
      </w:r>
      <w:r>
        <w:rPr>
          <w:rFonts w:eastAsia="仿宋_GB2312"/>
          <w:kern w:val="0"/>
          <w:sz w:val="32"/>
          <w:szCs w:val="32"/>
        </w:rPr>
        <w:t>2</w:t>
      </w:r>
      <w:r>
        <w:rPr>
          <w:rFonts w:hint="eastAsia" w:ascii="仿宋_GB2312" w:eastAsia="仿宋_GB2312"/>
          <w:kern w:val="0"/>
          <w:sz w:val="32"/>
          <w:szCs w:val="32"/>
        </w:rPr>
        <w:t>人，因此</w:t>
      </w:r>
      <w:r>
        <w:rPr>
          <w:rFonts w:hint="eastAsia" w:ascii="仿宋_GB2312" w:eastAsia="仿宋_GB2312"/>
          <w:color w:val="000000"/>
          <w:kern w:val="76"/>
          <w:sz w:val="32"/>
          <w:szCs w:val="32"/>
        </w:rPr>
        <w:t>行政单位离退休增加</w:t>
      </w:r>
      <w:r>
        <w:rPr>
          <w:rFonts w:hint="eastAsia" w:ascii="仿宋_GB2312" w:hAnsi="仿宋" w:eastAsia="仿宋_GB2312" w:cs="仿宋"/>
          <w:kern w:val="0"/>
          <w:sz w:val="32"/>
          <w:szCs w:val="32"/>
        </w:rPr>
        <w:t>。</w:t>
      </w:r>
    </w:p>
    <w:p w14:paraId="0E9314AA">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2．</w:t>
      </w:r>
      <w:r>
        <w:rPr>
          <w:rFonts w:hint="eastAsia" w:ascii="仿宋_GB2312" w:hAnsi="仿宋" w:eastAsia="仿宋_GB2312" w:cs="仿宋"/>
          <w:kern w:val="0"/>
          <w:sz w:val="32"/>
          <w:szCs w:val="32"/>
        </w:rPr>
        <w:t>行政事业单位养老支出（款）机关事业单位基本养老保险缴费支出（项）。年初预算</w:t>
      </w:r>
      <w:r>
        <w:rPr>
          <w:rFonts w:eastAsia="仿宋_GB2312"/>
          <w:kern w:val="0"/>
          <w:sz w:val="32"/>
          <w:szCs w:val="32"/>
        </w:rPr>
        <w:t>101.61</w:t>
      </w:r>
      <w:r>
        <w:rPr>
          <w:rFonts w:hint="eastAsia" w:ascii="仿宋_GB2312" w:hAnsi="仿宋" w:eastAsia="仿宋_GB2312" w:cs="仿宋"/>
          <w:kern w:val="0"/>
          <w:sz w:val="32"/>
          <w:szCs w:val="32"/>
        </w:rPr>
        <w:t>万元，支出决算</w:t>
      </w:r>
      <w:r>
        <w:rPr>
          <w:rFonts w:eastAsia="仿宋_GB2312"/>
          <w:kern w:val="0"/>
          <w:sz w:val="32"/>
          <w:szCs w:val="32"/>
        </w:rPr>
        <w:t>97.62</w:t>
      </w:r>
      <w:r>
        <w:rPr>
          <w:rFonts w:hint="eastAsia" w:ascii="仿宋_GB2312" w:hAnsi="仿宋" w:eastAsia="仿宋_GB2312" w:cs="仿宋"/>
          <w:kern w:val="0"/>
          <w:sz w:val="32"/>
          <w:szCs w:val="32"/>
        </w:rPr>
        <w:t>万元，完成年初预算的</w:t>
      </w:r>
      <w:r>
        <w:rPr>
          <w:rFonts w:eastAsia="仿宋_GB2312"/>
          <w:kern w:val="0"/>
          <w:sz w:val="32"/>
          <w:szCs w:val="32"/>
        </w:rPr>
        <w:t>96.07%</w:t>
      </w:r>
      <w:r>
        <w:rPr>
          <w:rFonts w:hint="eastAsia" w:ascii="仿宋_GB2312" w:hAnsi="仿宋" w:eastAsia="仿宋_GB2312" w:cs="仿宋"/>
          <w:kern w:val="0"/>
          <w:sz w:val="32"/>
          <w:szCs w:val="32"/>
        </w:rPr>
        <w:t>。决算数与年初预算数的差异原因：</w:t>
      </w:r>
      <w:r>
        <w:rPr>
          <w:rFonts w:hint="eastAsia" w:ascii="仿宋_GB2312" w:eastAsia="仿宋_GB2312"/>
          <w:kern w:val="0"/>
          <w:sz w:val="32"/>
          <w:szCs w:val="32"/>
        </w:rPr>
        <w:t>我单位</w:t>
      </w:r>
      <w:r>
        <w:rPr>
          <w:rFonts w:eastAsia="仿宋_GB2312"/>
          <w:kern w:val="0"/>
          <w:sz w:val="32"/>
          <w:szCs w:val="32"/>
        </w:rPr>
        <w:t>2025</w:t>
      </w:r>
      <w:r>
        <w:rPr>
          <w:rFonts w:hint="eastAsia" w:ascii="仿宋_GB2312" w:eastAsia="仿宋_GB2312"/>
          <w:kern w:val="0"/>
          <w:sz w:val="32"/>
          <w:szCs w:val="32"/>
        </w:rPr>
        <w:t>年在职转退休</w:t>
      </w:r>
      <w:r>
        <w:rPr>
          <w:rFonts w:eastAsia="仿宋_GB2312"/>
          <w:kern w:val="0"/>
          <w:sz w:val="32"/>
          <w:szCs w:val="32"/>
        </w:rPr>
        <w:t>2</w:t>
      </w:r>
      <w:r>
        <w:rPr>
          <w:rFonts w:hint="eastAsia" w:ascii="仿宋_GB2312" w:eastAsia="仿宋_GB2312"/>
          <w:kern w:val="0"/>
          <w:sz w:val="32"/>
          <w:szCs w:val="32"/>
        </w:rPr>
        <w:t>人，因此</w:t>
      </w:r>
      <w:r>
        <w:rPr>
          <w:rFonts w:hint="eastAsia" w:ascii="仿宋_GB2312" w:eastAsia="仿宋_GB2312"/>
          <w:color w:val="000000"/>
          <w:kern w:val="76"/>
          <w:sz w:val="32"/>
          <w:szCs w:val="32"/>
        </w:rPr>
        <w:t>机关事业单位基本养老保险缴费支出减少</w:t>
      </w:r>
      <w:r>
        <w:rPr>
          <w:rFonts w:hint="eastAsia" w:ascii="仿宋_GB2312" w:hAnsi="仿宋" w:eastAsia="仿宋_GB2312" w:cs="仿宋"/>
          <w:kern w:val="0"/>
          <w:sz w:val="32"/>
          <w:szCs w:val="32"/>
        </w:rPr>
        <w:t>。</w:t>
      </w:r>
    </w:p>
    <w:p w14:paraId="0E72786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3．</w:t>
      </w:r>
      <w:r>
        <w:rPr>
          <w:rFonts w:hint="eastAsia" w:ascii="仿宋_GB2312" w:hAnsi="仿宋" w:eastAsia="仿宋_GB2312" w:cs="仿宋"/>
          <w:kern w:val="0"/>
          <w:sz w:val="32"/>
          <w:szCs w:val="32"/>
        </w:rPr>
        <w:t>行政事业单位养老支出（款）机关事业单位职业年金缴费支出（项）。年初预算</w:t>
      </w:r>
      <w:r>
        <w:rPr>
          <w:rFonts w:eastAsia="仿宋_GB2312"/>
          <w:kern w:val="0"/>
          <w:sz w:val="32"/>
          <w:szCs w:val="32"/>
        </w:rPr>
        <w:t>50.80</w:t>
      </w:r>
      <w:r>
        <w:rPr>
          <w:rFonts w:hint="eastAsia" w:ascii="仿宋_GB2312" w:hAnsi="仿宋" w:eastAsia="仿宋_GB2312" w:cs="仿宋"/>
          <w:kern w:val="0"/>
          <w:sz w:val="32"/>
          <w:szCs w:val="32"/>
        </w:rPr>
        <w:t>万元，支出决算</w:t>
      </w:r>
      <w:r>
        <w:rPr>
          <w:rFonts w:eastAsia="仿宋_GB2312"/>
          <w:kern w:val="0"/>
          <w:sz w:val="32"/>
          <w:szCs w:val="32"/>
        </w:rPr>
        <w:t>52.70</w:t>
      </w:r>
      <w:r>
        <w:rPr>
          <w:rFonts w:hint="eastAsia" w:ascii="仿宋_GB2312" w:hAnsi="仿宋" w:eastAsia="仿宋_GB2312" w:cs="仿宋"/>
          <w:kern w:val="0"/>
          <w:sz w:val="32"/>
          <w:szCs w:val="32"/>
        </w:rPr>
        <w:t>万元，完成年初预算的</w:t>
      </w:r>
      <w:r>
        <w:rPr>
          <w:rFonts w:eastAsia="仿宋_GB2312"/>
          <w:kern w:val="0"/>
          <w:sz w:val="32"/>
          <w:szCs w:val="32"/>
        </w:rPr>
        <w:t>103.74%</w:t>
      </w:r>
      <w:r>
        <w:rPr>
          <w:rFonts w:hint="eastAsia" w:ascii="仿宋_GB2312" w:hAnsi="仿宋" w:eastAsia="仿宋_GB2312" w:cs="仿宋"/>
          <w:kern w:val="0"/>
          <w:sz w:val="32"/>
          <w:szCs w:val="32"/>
        </w:rPr>
        <w:t>。决算数与年初预算数的差异原因：</w:t>
      </w:r>
      <w:r>
        <w:rPr>
          <w:rFonts w:hint="eastAsia" w:ascii="仿宋_GB2312" w:eastAsia="仿宋_GB2312"/>
          <w:kern w:val="0"/>
          <w:sz w:val="32"/>
          <w:szCs w:val="32"/>
        </w:rPr>
        <w:t>我单位</w:t>
      </w:r>
      <w:r>
        <w:rPr>
          <w:rFonts w:eastAsia="仿宋_GB2312"/>
          <w:kern w:val="0"/>
          <w:sz w:val="32"/>
          <w:szCs w:val="32"/>
        </w:rPr>
        <w:t>2025</w:t>
      </w:r>
      <w:r>
        <w:rPr>
          <w:rFonts w:hint="eastAsia" w:ascii="仿宋_GB2312" w:eastAsia="仿宋_GB2312"/>
          <w:kern w:val="0"/>
          <w:sz w:val="32"/>
          <w:szCs w:val="32"/>
        </w:rPr>
        <w:t>年在职转退休</w:t>
      </w:r>
      <w:r>
        <w:rPr>
          <w:rFonts w:eastAsia="仿宋_GB2312"/>
          <w:kern w:val="0"/>
          <w:sz w:val="32"/>
          <w:szCs w:val="32"/>
        </w:rPr>
        <w:t>2</w:t>
      </w:r>
      <w:r>
        <w:rPr>
          <w:rFonts w:hint="eastAsia" w:ascii="仿宋_GB2312" w:eastAsia="仿宋_GB2312"/>
          <w:kern w:val="0"/>
          <w:sz w:val="32"/>
          <w:szCs w:val="32"/>
        </w:rPr>
        <w:t>人，因此</w:t>
      </w:r>
      <w:r>
        <w:rPr>
          <w:rFonts w:hint="eastAsia" w:ascii="仿宋_GB2312" w:hAnsi="仿宋" w:eastAsia="仿宋_GB2312" w:cs="仿宋"/>
          <w:kern w:val="0"/>
          <w:sz w:val="32"/>
          <w:szCs w:val="32"/>
        </w:rPr>
        <w:t>机关事业单位职业年金缴费支出</w:t>
      </w:r>
      <w:r>
        <w:rPr>
          <w:rFonts w:hint="eastAsia" w:ascii="仿宋_GB2312" w:eastAsia="仿宋_GB2312"/>
          <w:color w:val="000000"/>
          <w:kern w:val="76"/>
          <w:sz w:val="32"/>
          <w:szCs w:val="32"/>
        </w:rPr>
        <w:t>增加</w:t>
      </w:r>
      <w:r>
        <w:rPr>
          <w:rFonts w:hint="eastAsia" w:ascii="仿宋_GB2312" w:hAnsi="仿宋" w:eastAsia="仿宋_GB2312" w:cs="仿宋"/>
          <w:kern w:val="0"/>
          <w:sz w:val="32"/>
          <w:szCs w:val="32"/>
        </w:rPr>
        <w:t>。</w:t>
      </w:r>
    </w:p>
    <w:p w14:paraId="10FD1164">
      <w:pPr>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color w:val="000000"/>
          <w:kern w:val="76"/>
          <w:sz w:val="32"/>
          <w:szCs w:val="32"/>
        </w:rPr>
      </w:pPr>
      <w:r>
        <w:rPr>
          <w:rFonts w:hint="eastAsia" w:eastAsia="仿宋_GB2312"/>
          <w:kern w:val="0"/>
          <w:sz w:val="32"/>
          <w:szCs w:val="32"/>
          <w:lang w:val="en-US" w:eastAsia="zh-CN"/>
        </w:rPr>
        <w:t>4</w:t>
      </w:r>
      <w:r>
        <w:rPr>
          <w:rFonts w:eastAsia="仿宋_GB2312"/>
          <w:kern w:val="0"/>
          <w:sz w:val="32"/>
          <w:szCs w:val="32"/>
        </w:rPr>
        <w:t>．</w:t>
      </w:r>
      <w:r>
        <w:rPr>
          <w:rFonts w:hint="eastAsia" w:ascii="仿宋_GB2312" w:eastAsia="仿宋_GB2312"/>
          <w:kern w:val="0"/>
          <w:sz w:val="32"/>
          <w:szCs w:val="32"/>
        </w:rPr>
        <w:t>抚恤（款）死亡抚恤（项）。年初预算</w:t>
      </w:r>
      <w:r>
        <w:rPr>
          <w:rFonts w:eastAsia="仿宋_GB2312"/>
          <w:kern w:val="0"/>
          <w:sz w:val="32"/>
          <w:szCs w:val="32"/>
        </w:rPr>
        <w:t>0.00</w:t>
      </w:r>
      <w:r>
        <w:rPr>
          <w:rFonts w:hint="eastAsia" w:ascii="仿宋_GB2312" w:eastAsia="仿宋_GB2312"/>
          <w:kern w:val="0"/>
          <w:sz w:val="32"/>
          <w:szCs w:val="32"/>
        </w:rPr>
        <w:t>万元，支出决算</w:t>
      </w:r>
      <w:r>
        <w:rPr>
          <w:rFonts w:eastAsia="仿宋_GB2312"/>
          <w:kern w:val="0"/>
          <w:sz w:val="32"/>
          <w:szCs w:val="32"/>
        </w:rPr>
        <w:t>22.81</w:t>
      </w:r>
      <w:r>
        <w:rPr>
          <w:rFonts w:hint="eastAsia" w:ascii="仿宋_GB2312" w:eastAsia="仿宋_GB2312"/>
          <w:kern w:val="0"/>
          <w:sz w:val="32"/>
          <w:szCs w:val="32"/>
        </w:rPr>
        <w:t>万元，超出年初预算，决算数与年初预算数的差异原因：按照财政要求，抚恤金为年底一次性清算追加。</w:t>
      </w:r>
    </w:p>
    <w:p w14:paraId="5F43FB5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highlight w:val="none"/>
        </w:rPr>
      </w:pPr>
      <w:r>
        <w:rPr>
          <w:rFonts w:hint="eastAsia" w:ascii="楷体_GB2312" w:hAnsi="楷体" w:eastAsia="楷体_GB2312" w:cs="楷体"/>
          <w:b/>
          <w:bCs/>
          <w:kern w:val="0"/>
          <w:sz w:val="32"/>
          <w:szCs w:val="32"/>
          <w:highlight w:val="none"/>
        </w:rPr>
        <w:t>（</w:t>
      </w:r>
      <w:r>
        <w:rPr>
          <w:rFonts w:hint="eastAsia" w:ascii="楷体_GB2312" w:hAnsi="楷体" w:eastAsia="楷体_GB2312" w:cs="楷体"/>
          <w:b/>
          <w:bCs/>
          <w:kern w:val="0"/>
          <w:sz w:val="32"/>
          <w:szCs w:val="32"/>
          <w:highlight w:val="none"/>
          <w:lang w:val="en-US" w:eastAsia="zh-CN"/>
        </w:rPr>
        <w:t>三</w:t>
      </w:r>
      <w:r>
        <w:rPr>
          <w:rFonts w:hint="eastAsia" w:ascii="楷体_GB2312" w:hAnsi="楷体" w:eastAsia="楷体_GB2312" w:cs="楷体"/>
          <w:b/>
          <w:bCs/>
          <w:kern w:val="0"/>
          <w:sz w:val="32"/>
          <w:szCs w:val="32"/>
          <w:highlight w:val="none"/>
        </w:rPr>
        <w:t>）卫生健康支出（类）</w:t>
      </w:r>
    </w:p>
    <w:p w14:paraId="3947B7A2">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卫生健康支出（类）决算数为</w:t>
      </w:r>
      <w:r>
        <w:rPr>
          <w:rFonts w:eastAsia="仿宋_GB2312"/>
          <w:kern w:val="0"/>
          <w:sz w:val="32"/>
          <w:szCs w:val="32"/>
        </w:rPr>
        <w:t>132.22</w:t>
      </w:r>
      <w:r>
        <w:rPr>
          <w:rFonts w:hint="eastAsia" w:ascii="仿宋_GB2312" w:hAnsi="仿宋" w:eastAsia="仿宋_GB2312" w:cs="仿宋"/>
          <w:kern w:val="0"/>
          <w:sz w:val="32"/>
          <w:szCs w:val="32"/>
        </w:rPr>
        <w:t>万元，与年初预算相比增加</w:t>
      </w:r>
      <w:r>
        <w:rPr>
          <w:rFonts w:eastAsia="仿宋_GB2312"/>
          <w:kern w:val="0"/>
          <w:sz w:val="32"/>
          <w:szCs w:val="32"/>
        </w:rPr>
        <w:t>22.71</w:t>
      </w:r>
      <w:r>
        <w:rPr>
          <w:rFonts w:hint="eastAsia" w:ascii="仿宋_GB2312" w:hAnsi="仿宋" w:eastAsia="仿宋_GB2312" w:cs="仿宋"/>
          <w:kern w:val="0"/>
          <w:sz w:val="32"/>
          <w:szCs w:val="32"/>
        </w:rPr>
        <w:t>万元。其中：</w:t>
      </w:r>
    </w:p>
    <w:p w14:paraId="12C589A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eastAsia="仿宋_GB2312"/>
          <w:kern w:val="0"/>
          <w:sz w:val="32"/>
          <w:szCs w:val="32"/>
        </w:rPr>
        <w:t>1</w:t>
      </w:r>
      <w:r>
        <w:rPr>
          <w:rFonts w:hint="eastAsia" w:ascii="仿宋_GB2312" w:hAnsi="仿宋" w:eastAsia="仿宋_GB2312" w:cs="仿宋"/>
          <w:kern w:val="0"/>
          <w:sz w:val="32"/>
          <w:szCs w:val="32"/>
        </w:rPr>
        <w:t>．行政事业单位医疗（款）行政单位医疗（项）。年初预算</w:t>
      </w:r>
      <w:r>
        <w:rPr>
          <w:rFonts w:eastAsia="仿宋_GB2312"/>
          <w:kern w:val="0"/>
          <w:sz w:val="32"/>
          <w:szCs w:val="32"/>
        </w:rPr>
        <w:t>61.79</w:t>
      </w:r>
      <w:r>
        <w:rPr>
          <w:rFonts w:hint="eastAsia" w:ascii="仿宋_GB2312" w:hAnsi="仿宋" w:eastAsia="仿宋_GB2312" w:cs="仿宋"/>
          <w:kern w:val="0"/>
          <w:sz w:val="32"/>
          <w:szCs w:val="32"/>
        </w:rPr>
        <w:t>万元，支出决算</w:t>
      </w:r>
      <w:r>
        <w:rPr>
          <w:rFonts w:eastAsia="仿宋_GB2312"/>
          <w:kern w:val="0"/>
          <w:sz w:val="32"/>
          <w:szCs w:val="32"/>
        </w:rPr>
        <w:t>84.50</w:t>
      </w:r>
      <w:r>
        <w:rPr>
          <w:rFonts w:hint="eastAsia" w:ascii="仿宋_GB2312" w:hAnsi="仿宋" w:eastAsia="仿宋_GB2312" w:cs="仿宋"/>
          <w:kern w:val="0"/>
          <w:sz w:val="32"/>
          <w:szCs w:val="32"/>
        </w:rPr>
        <w:t>万元，完成年初预算的</w:t>
      </w:r>
      <w:r>
        <w:rPr>
          <w:rFonts w:eastAsia="仿宋_GB2312"/>
          <w:kern w:val="0"/>
          <w:sz w:val="32"/>
          <w:szCs w:val="32"/>
        </w:rPr>
        <w:t>136.75%</w:t>
      </w:r>
      <w:r>
        <w:rPr>
          <w:rFonts w:hint="eastAsia" w:ascii="仿宋_GB2312" w:hAnsi="仿宋" w:eastAsia="仿宋_GB2312" w:cs="仿宋"/>
          <w:kern w:val="0"/>
          <w:sz w:val="32"/>
          <w:szCs w:val="32"/>
        </w:rPr>
        <w:t>。决算数与年初预算数的差异原因：我单位</w:t>
      </w:r>
      <w:r>
        <w:rPr>
          <w:rFonts w:eastAsia="仿宋_GB2312"/>
          <w:kern w:val="0"/>
          <w:sz w:val="32"/>
          <w:szCs w:val="32"/>
        </w:rPr>
        <w:t>2025</w:t>
      </w:r>
      <w:r>
        <w:rPr>
          <w:rFonts w:hint="eastAsia" w:ascii="仿宋_GB2312" w:hAnsi="仿宋" w:eastAsia="仿宋_GB2312" w:cs="仿宋"/>
          <w:kern w:val="0"/>
          <w:sz w:val="32"/>
          <w:szCs w:val="32"/>
        </w:rPr>
        <w:t>年度在职人员增加，因此行政单位医疗增加。</w:t>
      </w:r>
    </w:p>
    <w:p w14:paraId="2DA4AA9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kern w:val="0"/>
          <w:sz w:val="32"/>
          <w:szCs w:val="32"/>
        </w:rPr>
        <w:t>2．</w:t>
      </w:r>
      <w:r>
        <w:rPr>
          <w:rFonts w:hint="eastAsia" w:ascii="仿宋_GB2312" w:hAnsi="仿宋" w:eastAsia="仿宋_GB2312" w:cs="仿宋"/>
          <w:kern w:val="0"/>
          <w:sz w:val="32"/>
          <w:szCs w:val="32"/>
        </w:rPr>
        <w:t>行政事业单位医疗（款）公务员医疗补助（项）。年初预算</w:t>
      </w:r>
      <w:r>
        <w:rPr>
          <w:rFonts w:eastAsia="仿宋_GB2312"/>
          <w:kern w:val="0"/>
          <w:sz w:val="32"/>
          <w:szCs w:val="32"/>
        </w:rPr>
        <w:t>47.71</w:t>
      </w:r>
      <w:r>
        <w:rPr>
          <w:rFonts w:hint="eastAsia" w:ascii="仿宋_GB2312" w:hAnsi="仿宋" w:eastAsia="仿宋_GB2312" w:cs="仿宋"/>
          <w:kern w:val="0"/>
          <w:sz w:val="32"/>
          <w:szCs w:val="32"/>
        </w:rPr>
        <w:t>万元，支出决算</w:t>
      </w:r>
      <w:r>
        <w:rPr>
          <w:rFonts w:eastAsia="仿宋_GB2312"/>
          <w:kern w:val="0"/>
          <w:sz w:val="32"/>
          <w:szCs w:val="32"/>
        </w:rPr>
        <w:t>47.71</w:t>
      </w:r>
      <w:r>
        <w:rPr>
          <w:rFonts w:hint="eastAsia" w:ascii="仿宋_GB2312" w:hAnsi="仿宋" w:eastAsia="仿宋_GB2312" w:cs="仿宋"/>
          <w:kern w:val="0"/>
          <w:sz w:val="32"/>
          <w:szCs w:val="32"/>
        </w:rPr>
        <w:t>万元，完成年初预算的</w:t>
      </w:r>
      <w:r>
        <w:rPr>
          <w:rFonts w:eastAsia="仿宋_GB2312"/>
          <w:kern w:val="0"/>
          <w:sz w:val="32"/>
          <w:szCs w:val="32"/>
        </w:rPr>
        <w:t>100%</w:t>
      </w:r>
      <w:r>
        <w:rPr>
          <w:rFonts w:hint="eastAsia" w:ascii="仿宋_GB2312" w:hAnsi="仿宋" w:eastAsia="仿宋_GB2312" w:cs="仿宋"/>
          <w:kern w:val="0"/>
          <w:sz w:val="32"/>
          <w:szCs w:val="32"/>
        </w:rPr>
        <w:t>。决算数与年初预算数的差异原因：</w:t>
      </w:r>
      <w:r>
        <w:rPr>
          <w:rFonts w:hint="eastAsia" w:ascii="仿宋_GB2312" w:eastAsia="仿宋_GB2312"/>
          <w:color w:val="000000"/>
          <w:kern w:val="76"/>
          <w:sz w:val="32"/>
          <w:szCs w:val="32"/>
        </w:rPr>
        <w:t>决算数与年初预算数无差异</w:t>
      </w:r>
      <w:r>
        <w:rPr>
          <w:rFonts w:hint="eastAsia" w:ascii="仿宋_GB2312" w:hAnsi="仿宋" w:eastAsia="仿宋_GB2312" w:cs="仿宋"/>
          <w:kern w:val="0"/>
          <w:sz w:val="32"/>
          <w:szCs w:val="32"/>
        </w:rPr>
        <w:t>。</w:t>
      </w:r>
    </w:p>
    <w:p w14:paraId="624D82C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highlight w:val="none"/>
        </w:rPr>
      </w:pPr>
      <w:r>
        <w:rPr>
          <w:rFonts w:hint="eastAsia" w:ascii="楷体_GB2312" w:hAnsi="楷体" w:eastAsia="楷体_GB2312" w:cs="楷体"/>
          <w:b/>
          <w:bCs/>
          <w:kern w:val="0"/>
          <w:sz w:val="32"/>
          <w:szCs w:val="32"/>
          <w:highlight w:val="none"/>
        </w:rPr>
        <w:t>（</w:t>
      </w:r>
      <w:r>
        <w:rPr>
          <w:rFonts w:hint="eastAsia" w:ascii="楷体_GB2312" w:hAnsi="楷体" w:eastAsia="楷体_GB2312" w:cs="楷体"/>
          <w:b/>
          <w:bCs/>
          <w:kern w:val="0"/>
          <w:sz w:val="32"/>
          <w:szCs w:val="32"/>
          <w:highlight w:val="none"/>
          <w:lang w:val="en-US" w:eastAsia="zh-CN"/>
        </w:rPr>
        <w:t>四</w:t>
      </w:r>
      <w:r>
        <w:rPr>
          <w:rFonts w:hint="eastAsia" w:ascii="楷体_GB2312" w:hAnsi="楷体" w:eastAsia="楷体_GB2312" w:cs="楷体"/>
          <w:b/>
          <w:bCs/>
          <w:kern w:val="0"/>
          <w:sz w:val="32"/>
          <w:szCs w:val="32"/>
          <w:highlight w:val="none"/>
        </w:rPr>
        <w:t>）住房保障支出（类）</w:t>
      </w:r>
    </w:p>
    <w:p w14:paraId="381AA76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住房保障支出（类）决算数为</w:t>
      </w:r>
      <w:r>
        <w:rPr>
          <w:rFonts w:eastAsia="仿宋_GB2312"/>
          <w:kern w:val="0"/>
          <w:sz w:val="32"/>
          <w:szCs w:val="32"/>
        </w:rPr>
        <w:t>127.23</w:t>
      </w:r>
      <w:r>
        <w:rPr>
          <w:rFonts w:hint="eastAsia" w:ascii="仿宋_GB2312" w:hAnsi="仿宋" w:eastAsia="仿宋_GB2312" w:cs="仿宋"/>
          <w:kern w:val="0"/>
          <w:sz w:val="32"/>
          <w:szCs w:val="32"/>
        </w:rPr>
        <w:t>万元，与年初预算相比减少</w:t>
      </w:r>
      <w:r>
        <w:rPr>
          <w:rFonts w:eastAsia="仿宋_GB2312"/>
          <w:kern w:val="0"/>
          <w:sz w:val="32"/>
          <w:szCs w:val="32"/>
        </w:rPr>
        <w:t>3.17</w:t>
      </w:r>
      <w:r>
        <w:rPr>
          <w:rFonts w:hint="eastAsia" w:ascii="仿宋_GB2312" w:hAnsi="仿宋" w:eastAsia="仿宋_GB2312" w:cs="仿宋"/>
          <w:kern w:val="0"/>
          <w:sz w:val="32"/>
          <w:szCs w:val="32"/>
        </w:rPr>
        <w:t>万元。其中：</w:t>
      </w:r>
    </w:p>
    <w:p w14:paraId="149E7F2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住房改革支出（款）住房公积金（项）。年初预算</w:t>
      </w:r>
      <w:r>
        <w:rPr>
          <w:rFonts w:eastAsia="仿宋_GB2312"/>
          <w:kern w:val="0"/>
          <w:sz w:val="32"/>
          <w:szCs w:val="32"/>
        </w:rPr>
        <w:t>130.40</w:t>
      </w:r>
      <w:r>
        <w:rPr>
          <w:rFonts w:hint="eastAsia" w:ascii="仿宋_GB2312" w:hAnsi="仿宋" w:eastAsia="仿宋_GB2312" w:cs="仿宋"/>
          <w:kern w:val="0"/>
          <w:sz w:val="32"/>
          <w:szCs w:val="32"/>
        </w:rPr>
        <w:t>万元，支出决算</w:t>
      </w:r>
      <w:r>
        <w:rPr>
          <w:rFonts w:eastAsia="仿宋_GB2312"/>
          <w:kern w:val="0"/>
          <w:sz w:val="32"/>
          <w:szCs w:val="32"/>
        </w:rPr>
        <w:t>127.23</w:t>
      </w:r>
      <w:r>
        <w:rPr>
          <w:rFonts w:hint="eastAsia" w:ascii="仿宋_GB2312" w:hAnsi="仿宋" w:eastAsia="仿宋_GB2312" w:cs="仿宋"/>
          <w:kern w:val="0"/>
          <w:sz w:val="32"/>
          <w:szCs w:val="32"/>
        </w:rPr>
        <w:t>万元，完成年初预算的</w:t>
      </w:r>
      <w:r>
        <w:rPr>
          <w:rFonts w:eastAsia="仿宋_GB2312"/>
          <w:kern w:val="0"/>
          <w:sz w:val="32"/>
          <w:szCs w:val="32"/>
        </w:rPr>
        <w:t>97.57%</w:t>
      </w:r>
      <w:r>
        <w:rPr>
          <w:rFonts w:hint="eastAsia" w:ascii="仿宋_GB2312" w:hAnsi="仿宋" w:eastAsia="仿宋_GB2312" w:cs="仿宋"/>
          <w:kern w:val="0"/>
          <w:sz w:val="32"/>
          <w:szCs w:val="32"/>
        </w:rPr>
        <w:t>。决算数与年初预算数的差异原因：</w:t>
      </w:r>
      <w:r>
        <w:rPr>
          <w:rFonts w:eastAsia="仿宋_GB2312"/>
          <w:color w:val="000000"/>
          <w:kern w:val="76"/>
          <w:sz w:val="32"/>
          <w:szCs w:val="32"/>
        </w:rPr>
        <w:t>2025</w:t>
      </w:r>
      <w:r>
        <w:rPr>
          <w:rFonts w:hint="eastAsia" w:ascii="仿宋_GB2312" w:eastAsia="仿宋_GB2312"/>
          <w:color w:val="000000"/>
          <w:kern w:val="76"/>
          <w:sz w:val="32"/>
          <w:szCs w:val="32"/>
        </w:rPr>
        <w:t>我单位退休人员增加，因此住房公积金支出减少。</w:t>
      </w:r>
    </w:p>
    <w:p w14:paraId="0180194D">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六、一般公共预算财政拨款基本支出决算情况说明</w:t>
      </w:r>
    </w:p>
    <w:p w14:paraId="043A5E9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年度一般公共预算财政拨款基本支出决算</w:t>
      </w:r>
      <w:r>
        <w:rPr>
          <w:rFonts w:eastAsia="仿宋_GB2312"/>
          <w:kern w:val="0"/>
          <w:sz w:val="32"/>
          <w:szCs w:val="32"/>
        </w:rPr>
        <w:t>1</w:t>
      </w:r>
      <w:r>
        <w:rPr>
          <w:rFonts w:hint="eastAsia" w:eastAsia="仿宋_GB2312"/>
          <w:kern w:val="0"/>
          <w:sz w:val="32"/>
          <w:szCs w:val="32"/>
        </w:rPr>
        <w:t>,</w:t>
      </w:r>
      <w:r>
        <w:rPr>
          <w:rFonts w:eastAsia="仿宋_GB2312"/>
          <w:kern w:val="0"/>
          <w:sz w:val="32"/>
          <w:szCs w:val="32"/>
        </w:rPr>
        <w:t>756.72</w:t>
      </w:r>
      <w:r>
        <w:rPr>
          <w:rFonts w:hint="eastAsia" w:ascii="仿宋_GB2312" w:hAnsi="仿宋" w:eastAsia="仿宋_GB2312" w:cs="仿宋"/>
          <w:kern w:val="0"/>
          <w:sz w:val="32"/>
          <w:szCs w:val="32"/>
        </w:rPr>
        <w:t>万元，其中：</w:t>
      </w:r>
    </w:p>
    <w:p w14:paraId="74C003B2">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楷体_GB2312" w:hAnsi="楷体" w:eastAsia="楷体_GB2312" w:cs="楷体"/>
          <w:b/>
          <w:bCs/>
          <w:kern w:val="0"/>
          <w:sz w:val="32"/>
          <w:szCs w:val="32"/>
        </w:rPr>
        <w:t>（一）人员经费</w:t>
      </w:r>
      <w:r>
        <w:rPr>
          <w:rFonts w:eastAsia="Times New Roman"/>
          <w:kern w:val="0"/>
          <w:sz w:val="32"/>
          <w:szCs w:val="32"/>
        </w:rPr>
        <w:t>1</w:t>
      </w:r>
      <w:r>
        <w:rPr>
          <w:rFonts w:hint="eastAsia" w:eastAsiaTheme="minorEastAsia"/>
          <w:kern w:val="0"/>
          <w:sz w:val="32"/>
          <w:szCs w:val="32"/>
        </w:rPr>
        <w:t>,</w:t>
      </w:r>
      <w:r>
        <w:rPr>
          <w:rFonts w:eastAsia="Times New Roman"/>
          <w:kern w:val="0"/>
          <w:sz w:val="32"/>
          <w:szCs w:val="32"/>
        </w:rPr>
        <w:t>526.32</w:t>
      </w:r>
      <w:r>
        <w:rPr>
          <w:rFonts w:hint="eastAsia" w:ascii="楷体_GB2312" w:hAnsi="楷体" w:eastAsia="楷体_GB2312" w:cs="楷体"/>
          <w:b/>
          <w:bCs/>
          <w:kern w:val="0"/>
          <w:sz w:val="32"/>
          <w:szCs w:val="32"/>
        </w:rPr>
        <w:t>万元。</w:t>
      </w:r>
      <w:r>
        <w:rPr>
          <w:rFonts w:hint="eastAsia" w:ascii="仿宋_GB2312" w:hAnsi="仿宋" w:eastAsia="仿宋_GB2312" w:cs="仿宋"/>
          <w:kern w:val="0"/>
          <w:sz w:val="32"/>
          <w:szCs w:val="32"/>
        </w:rPr>
        <w:t>主要包括：基本工资</w:t>
      </w:r>
      <w:r>
        <w:rPr>
          <w:rFonts w:eastAsia="仿宋_GB2312"/>
          <w:kern w:val="0"/>
          <w:sz w:val="32"/>
          <w:szCs w:val="32"/>
        </w:rPr>
        <w:t>315.79</w:t>
      </w:r>
      <w:r>
        <w:rPr>
          <w:rFonts w:hint="eastAsia" w:ascii="仿宋_GB2312" w:hAnsi="仿宋" w:eastAsia="仿宋_GB2312" w:cs="仿宋"/>
          <w:kern w:val="0"/>
          <w:sz w:val="32"/>
          <w:szCs w:val="32"/>
        </w:rPr>
        <w:t>万元、津贴补贴</w:t>
      </w:r>
      <w:r>
        <w:rPr>
          <w:rFonts w:eastAsia="仿宋_GB2312"/>
          <w:kern w:val="0"/>
          <w:sz w:val="32"/>
          <w:szCs w:val="32"/>
        </w:rPr>
        <w:t>589.46</w:t>
      </w:r>
      <w:r>
        <w:rPr>
          <w:rFonts w:hint="eastAsia" w:ascii="仿宋_GB2312" w:hAnsi="仿宋" w:eastAsia="仿宋_GB2312" w:cs="仿宋"/>
          <w:kern w:val="0"/>
          <w:sz w:val="32"/>
          <w:szCs w:val="32"/>
        </w:rPr>
        <w:t>万元、奖金</w:t>
      </w:r>
      <w:r>
        <w:rPr>
          <w:rFonts w:eastAsia="仿宋_GB2312"/>
          <w:kern w:val="0"/>
          <w:sz w:val="32"/>
          <w:szCs w:val="32"/>
        </w:rPr>
        <w:t>73.56</w:t>
      </w:r>
      <w:r>
        <w:rPr>
          <w:rFonts w:hint="eastAsia" w:ascii="仿宋_GB2312" w:hAnsi="仿宋" w:eastAsia="仿宋_GB2312" w:cs="仿宋"/>
          <w:kern w:val="0"/>
          <w:sz w:val="32"/>
          <w:szCs w:val="32"/>
        </w:rPr>
        <w:t>万元、机关事业单位基本养老保险缴费</w:t>
      </w:r>
      <w:r>
        <w:rPr>
          <w:rFonts w:eastAsia="仿宋_GB2312"/>
          <w:kern w:val="0"/>
          <w:sz w:val="32"/>
          <w:szCs w:val="32"/>
        </w:rPr>
        <w:t>97.62</w:t>
      </w:r>
      <w:r>
        <w:rPr>
          <w:rFonts w:hint="eastAsia" w:ascii="仿宋_GB2312" w:hAnsi="仿宋" w:eastAsia="仿宋_GB2312" w:cs="仿宋"/>
          <w:kern w:val="0"/>
          <w:sz w:val="32"/>
          <w:szCs w:val="32"/>
        </w:rPr>
        <w:t>万元、职业年金缴费</w:t>
      </w:r>
      <w:r>
        <w:rPr>
          <w:rFonts w:eastAsia="仿宋_GB2312"/>
          <w:kern w:val="0"/>
          <w:sz w:val="32"/>
          <w:szCs w:val="32"/>
        </w:rPr>
        <w:t>52.70</w:t>
      </w:r>
      <w:r>
        <w:rPr>
          <w:rFonts w:hint="eastAsia" w:ascii="仿宋_GB2312" w:hAnsi="仿宋" w:eastAsia="仿宋_GB2312" w:cs="仿宋"/>
          <w:kern w:val="0"/>
          <w:sz w:val="32"/>
          <w:szCs w:val="32"/>
        </w:rPr>
        <w:t>万元、职工基本医疗保险缴费</w:t>
      </w:r>
      <w:r>
        <w:rPr>
          <w:rFonts w:eastAsia="仿宋_GB2312"/>
          <w:kern w:val="0"/>
          <w:sz w:val="32"/>
          <w:szCs w:val="32"/>
        </w:rPr>
        <w:t>84.50</w:t>
      </w:r>
      <w:r>
        <w:rPr>
          <w:rFonts w:hint="eastAsia" w:ascii="仿宋_GB2312" w:hAnsi="仿宋" w:eastAsia="仿宋_GB2312" w:cs="仿宋"/>
          <w:kern w:val="0"/>
          <w:sz w:val="32"/>
          <w:szCs w:val="32"/>
        </w:rPr>
        <w:t>万元、公务员医疗补助缴费</w:t>
      </w:r>
      <w:r>
        <w:rPr>
          <w:rFonts w:eastAsia="仿宋_GB2312"/>
          <w:kern w:val="0"/>
          <w:sz w:val="32"/>
          <w:szCs w:val="32"/>
        </w:rPr>
        <w:t>47.71</w:t>
      </w:r>
      <w:r>
        <w:rPr>
          <w:rFonts w:hint="eastAsia" w:ascii="仿宋_GB2312" w:hAnsi="仿宋" w:eastAsia="仿宋_GB2312" w:cs="仿宋"/>
          <w:kern w:val="0"/>
          <w:sz w:val="32"/>
          <w:szCs w:val="32"/>
        </w:rPr>
        <w:t>万元、其他社会保障缴费</w:t>
      </w:r>
      <w:r>
        <w:rPr>
          <w:rFonts w:eastAsia="仿宋_GB2312"/>
          <w:kern w:val="0"/>
          <w:sz w:val="32"/>
          <w:szCs w:val="32"/>
        </w:rPr>
        <w:t>1.51</w:t>
      </w:r>
      <w:r>
        <w:rPr>
          <w:rFonts w:hint="eastAsia" w:ascii="仿宋_GB2312" w:hAnsi="仿宋" w:eastAsia="仿宋_GB2312" w:cs="仿宋"/>
          <w:kern w:val="0"/>
          <w:sz w:val="32"/>
          <w:szCs w:val="32"/>
        </w:rPr>
        <w:t>万元、住房公积金</w:t>
      </w:r>
      <w:r>
        <w:rPr>
          <w:rFonts w:eastAsia="仿宋_GB2312"/>
          <w:kern w:val="0"/>
          <w:sz w:val="32"/>
          <w:szCs w:val="32"/>
        </w:rPr>
        <w:t>127.23</w:t>
      </w:r>
      <w:r>
        <w:rPr>
          <w:rFonts w:hint="eastAsia" w:ascii="仿宋_GB2312" w:hAnsi="仿宋" w:eastAsia="仿宋_GB2312" w:cs="仿宋"/>
          <w:kern w:val="0"/>
          <w:sz w:val="32"/>
          <w:szCs w:val="32"/>
        </w:rPr>
        <w:t>万元、其他工资福利支出</w:t>
      </w:r>
      <w:r>
        <w:rPr>
          <w:rFonts w:eastAsia="仿宋_GB2312"/>
          <w:kern w:val="0"/>
          <w:sz w:val="32"/>
          <w:szCs w:val="32"/>
        </w:rPr>
        <w:t>62.88</w:t>
      </w:r>
      <w:r>
        <w:rPr>
          <w:rFonts w:hint="eastAsia" w:ascii="仿宋_GB2312" w:hAnsi="仿宋" w:eastAsia="仿宋_GB2312" w:cs="仿宋"/>
          <w:kern w:val="0"/>
          <w:sz w:val="32"/>
          <w:szCs w:val="32"/>
        </w:rPr>
        <w:t>万元、离休费</w:t>
      </w:r>
      <w:r>
        <w:rPr>
          <w:rFonts w:eastAsia="仿宋_GB2312"/>
          <w:kern w:val="0"/>
          <w:sz w:val="32"/>
          <w:szCs w:val="32"/>
        </w:rPr>
        <w:t>0.00</w:t>
      </w:r>
      <w:r>
        <w:rPr>
          <w:rFonts w:hint="eastAsia" w:ascii="仿宋_GB2312" w:hAnsi="仿宋" w:eastAsia="仿宋_GB2312" w:cs="仿宋"/>
          <w:kern w:val="0"/>
          <w:sz w:val="32"/>
          <w:szCs w:val="32"/>
        </w:rPr>
        <w:t>万元、退休费</w:t>
      </w:r>
      <w:r>
        <w:rPr>
          <w:rFonts w:eastAsia="仿宋_GB2312"/>
          <w:kern w:val="0"/>
          <w:sz w:val="32"/>
          <w:szCs w:val="32"/>
        </w:rPr>
        <w:t>47.86</w:t>
      </w:r>
      <w:r>
        <w:rPr>
          <w:rFonts w:hint="eastAsia" w:ascii="仿宋_GB2312" w:hAnsi="仿宋" w:eastAsia="仿宋_GB2312" w:cs="仿宋"/>
          <w:kern w:val="0"/>
          <w:sz w:val="32"/>
          <w:szCs w:val="32"/>
        </w:rPr>
        <w:t>万元、抚恤金</w:t>
      </w:r>
      <w:r>
        <w:rPr>
          <w:rFonts w:eastAsia="仿宋_GB2312"/>
          <w:kern w:val="0"/>
          <w:sz w:val="32"/>
          <w:szCs w:val="32"/>
        </w:rPr>
        <w:t>22.81</w:t>
      </w:r>
      <w:r>
        <w:rPr>
          <w:rFonts w:hint="eastAsia" w:ascii="仿宋_GB2312" w:hAnsi="仿宋" w:eastAsia="仿宋_GB2312" w:cs="仿宋"/>
          <w:kern w:val="0"/>
          <w:sz w:val="32"/>
          <w:szCs w:val="32"/>
        </w:rPr>
        <w:t>万元、生活补助</w:t>
      </w:r>
      <w:r>
        <w:rPr>
          <w:rFonts w:eastAsia="仿宋_GB2312"/>
          <w:kern w:val="0"/>
          <w:sz w:val="32"/>
          <w:szCs w:val="32"/>
        </w:rPr>
        <w:t>2.68</w:t>
      </w:r>
      <w:r>
        <w:rPr>
          <w:rFonts w:hint="eastAsia" w:ascii="仿宋_GB2312" w:hAnsi="仿宋" w:eastAsia="仿宋_GB2312" w:cs="仿宋"/>
          <w:kern w:val="0"/>
          <w:sz w:val="32"/>
          <w:szCs w:val="32"/>
        </w:rPr>
        <w:t>万元。</w:t>
      </w:r>
    </w:p>
    <w:p w14:paraId="3969462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eastAsia="Times New Roman"/>
          <w:kern w:val="0"/>
          <w:sz w:val="24"/>
        </w:rPr>
      </w:pPr>
      <w:r>
        <w:rPr>
          <w:rFonts w:hint="eastAsia" w:ascii="楷体_GB2312" w:hAnsi="仿宋" w:eastAsia="楷体_GB2312" w:cs="仿宋"/>
          <w:b/>
          <w:bCs/>
          <w:kern w:val="0"/>
          <w:sz w:val="32"/>
          <w:szCs w:val="32"/>
        </w:rPr>
        <w:t>（二）公用经费</w:t>
      </w:r>
      <w:r>
        <w:rPr>
          <w:rFonts w:eastAsia="Times New Roman"/>
          <w:kern w:val="0"/>
          <w:sz w:val="32"/>
          <w:szCs w:val="32"/>
        </w:rPr>
        <w:t>230.41</w:t>
      </w:r>
      <w:r>
        <w:rPr>
          <w:rFonts w:hint="eastAsia" w:ascii="楷体_GB2312" w:hAnsi="仿宋" w:eastAsia="楷体_GB2312" w:cs="仿宋"/>
          <w:b/>
          <w:bCs/>
          <w:kern w:val="0"/>
          <w:sz w:val="32"/>
          <w:szCs w:val="32"/>
        </w:rPr>
        <w:t>万元。</w:t>
      </w:r>
      <w:r>
        <w:rPr>
          <w:rFonts w:hint="eastAsia" w:ascii="仿宋_GB2312" w:hAnsi="仿宋" w:eastAsia="仿宋_GB2312" w:cs="仿宋"/>
          <w:kern w:val="0"/>
          <w:sz w:val="32"/>
          <w:szCs w:val="32"/>
        </w:rPr>
        <w:t>主要包括：办公费</w:t>
      </w:r>
      <w:r>
        <w:rPr>
          <w:rFonts w:eastAsia="仿宋_GB2312"/>
          <w:kern w:val="0"/>
          <w:sz w:val="32"/>
          <w:szCs w:val="32"/>
        </w:rPr>
        <w:t>27.63</w:t>
      </w:r>
      <w:r>
        <w:rPr>
          <w:rFonts w:hint="eastAsia" w:ascii="仿宋_GB2312" w:hAnsi="仿宋" w:eastAsia="仿宋_GB2312" w:cs="仿宋"/>
          <w:kern w:val="0"/>
          <w:sz w:val="32"/>
          <w:szCs w:val="32"/>
        </w:rPr>
        <w:t>万元、电费</w:t>
      </w:r>
      <w:r>
        <w:rPr>
          <w:rFonts w:eastAsia="仿宋_GB2312"/>
          <w:kern w:val="0"/>
          <w:sz w:val="32"/>
          <w:szCs w:val="32"/>
        </w:rPr>
        <w:t>5.00</w:t>
      </w:r>
      <w:r>
        <w:rPr>
          <w:rFonts w:hint="eastAsia" w:ascii="仿宋_GB2312" w:hAnsi="仿宋" w:eastAsia="仿宋_GB2312" w:cs="仿宋"/>
          <w:kern w:val="0"/>
          <w:sz w:val="32"/>
          <w:szCs w:val="32"/>
        </w:rPr>
        <w:t>万元、邮电费</w:t>
      </w:r>
      <w:r>
        <w:rPr>
          <w:rFonts w:eastAsia="仿宋_GB2312"/>
          <w:kern w:val="0"/>
          <w:sz w:val="32"/>
          <w:szCs w:val="32"/>
        </w:rPr>
        <w:t>8.87</w:t>
      </w:r>
      <w:r>
        <w:rPr>
          <w:rFonts w:hint="eastAsia" w:ascii="仿宋_GB2312" w:hAnsi="仿宋" w:eastAsia="仿宋_GB2312" w:cs="仿宋"/>
          <w:kern w:val="0"/>
          <w:sz w:val="32"/>
          <w:szCs w:val="32"/>
        </w:rPr>
        <w:t>万元、取暖费</w:t>
      </w:r>
      <w:r>
        <w:rPr>
          <w:rFonts w:eastAsia="仿宋_GB2312"/>
          <w:kern w:val="0"/>
          <w:sz w:val="32"/>
          <w:szCs w:val="32"/>
        </w:rPr>
        <w:t>26.03</w:t>
      </w:r>
      <w:r>
        <w:rPr>
          <w:rFonts w:hint="eastAsia" w:ascii="仿宋_GB2312" w:hAnsi="仿宋" w:eastAsia="仿宋_GB2312" w:cs="仿宋"/>
          <w:kern w:val="0"/>
          <w:sz w:val="32"/>
          <w:szCs w:val="32"/>
        </w:rPr>
        <w:t>万元、差旅费</w:t>
      </w:r>
      <w:r>
        <w:rPr>
          <w:rFonts w:eastAsia="仿宋_GB2312"/>
          <w:kern w:val="0"/>
          <w:sz w:val="32"/>
          <w:szCs w:val="32"/>
        </w:rPr>
        <w:t>11.17</w:t>
      </w:r>
      <w:r>
        <w:rPr>
          <w:rFonts w:hint="eastAsia" w:ascii="仿宋_GB2312" w:hAnsi="仿宋" w:eastAsia="仿宋_GB2312" w:cs="仿宋"/>
          <w:kern w:val="0"/>
          <w:sz w:val="32"/>
          <w:szCs w:val="32"/>
        </w:rPr>
        <w:t>万元、维修（护）费</w:t>
      </w:r>
      <w:r>
        <w:rPr>
          <w:rFonts w:eastAsia="仿宋_GB2312"/>
          <w:kern w:val="0"/>
          <w:sz w:val="32"/>
          <w:szCs w:val="32"/>
        </w:rPr>
        <w:t>7.93</w:t>
      </w:r>
      <w:r>
        <w:rPr>
          <w:rFonts w:hint="eastAsia" w:ascii="仿宋_GB2312" w:hAnsi="仿宋" w:eastAsia="仿宋_GB2312" w:cs="仿宋"/>
          <w:kern w:val="0"/>
          <w:sz w:val="32"/>
          <w:szCs w:val="32"/>
        </w:rPr>
        <w:t>万元、培训费</w:t>
      </w:r>
      <w:r>
        <w:rPr>
          <w:rFonts w:eastAsia="仿宋_GB2312"/>
          <w:kern w:val="0"/>
          <w:sz w:val="32"/>
          <w:szCs w:val="32"/>
        </w:rPr>
        <w:t>12.77</w:t>
      </w:r>
      <w:r>
        <w:rPr>
          <w:rFonts w:hint="eastAsia" w:ascii="仿宋_GB2312" w:hAnsi="仿宋" w:eastAsia="仿宋_GB2312" w:cs="仿宋"/>
          <w:kern w:val="0"/>
          <w:sz w:val="32"/>
          <w:szCs w:val="32"/>
        </w:rPr>
        <w:t>万元、专用材料费</w:t>
      </w:r>
      <w:r>
        <w:rPr>
          <w:rFonts w:eastAsia="仿宋_GB2312"/>
          <w:kern w:val="0"/>
          <w:sz w:val="32"/>
          <w:szCs w:val="32"/>
        </w:rPr>
        <w:t>36.92</w:t>
      </w:r>
      <w:r>
        <w:rPr>
          <w:rFonts w:hint="eastAsia" w:ascii="仿宋_GB2312" w:hAnsi="仿宋" w:eastAsia="仿宋_GB2312" w:cs="仿宋"/>
          <w:kern w:val="0"/>
          <w:sz w:val="32"/>
          <w:szCs w:val="32"/>
        </w:rPr>
        <w:t>万元、工会经费</w:t>
      </w:r>
      <w:r>
        <w:rPr>
          <w:rFonts w:eastAsia="仿宋_GB2312"/>
          <w:kern w:val="0"/>
          <w:sz w:val="32"/>
          <w:szCs w:val="32"/>
        </w:rPr>
        <w:t>15.78</w:t>
      </w:r>
      <w:r>
        <w:rPr>
          <w:rFonts w:hint="eastAsia" w:ascii="仿宋_GB2312" w:hAnsi="仿宋" w:eastAsia="仿宋_GB2312" w:cs="仿宋"/>
          <w:kern w:val="0"/>
          <w:sz w:val="32"/>
          <w:szCs w:val="32"/>
        </w:rPr>
        <w:t>万元、福利费</w:t>
      </w:r>
      <w:r>
        <w:rPr>
          <w:rFonts w:eastAsia="仿宋_GB2312"/>
          <w:kern w:val="0"/>
          <w:sz w:val="32"/>
          <w:szCs w:val="32"/>
        </w:rPr>
        <w:t>20.20</w:t>
      </w:r>
      <w:r>
        <w:rPr>
          <w:rFonts w:hint="eastAsia" w:ascii="仿宋_GB2312" w:hAnsi="仿宋" w:eastAsia="仿宋_GB2312" w:cs="仿宋"/>
          <w:kern w:val="0"/>
          <w:sz w:val="32"/>
          <w:szCs w:val="32"/>
        </w:rPr>
        <w:t>万元、其他交通费用</w:t>
      </w:r>
      <w:r>
        <w:rPr>
          <w:rFonts w:eastAsia="仿宋_GB2312"/>
          <w:kern w:val="0"/>
          <w:sz w:val="32"/>
          <w:szCs w:val="32"/>
        </w:rPr>
        <w:t>47.13</w:t>
      </w:r>
      <w:r>
        <w:rPr>
          <w:rFonts w:hint="eastAsia" w:ascii="仿宋_GB2312" w:hAnsi="仿宋" w:eastAsia="仿宋_GB2312" w:cs="仿宋"/>
          <w:kern w:val="0"/>
          <w:sz w:val="32"/>
          <w:szCs w:val="32"/>
        </w:rPr>
        <w:t>万元、其他商品和服务支出</w:t>
      </w:r>
      <w:r>
        <w:rPr>
          <w:rFonts w:eastAsia="仿宋_GB2312"/>
          <w:kern w:val="0"/>
          <w:sz w:val="32"/>
          <w:szCs w:val="32"/>
        </w:rPr>
        <w:t>7.25</w:t>
      </w:r>
      <w:r>
        <w:rPr>
          <w:rFonts w:hint="eastAsia" w:ascii="仿宋_GB2312" w:hAnsi="仿宋" w:eastAsia="仿宋_GB2312" w:cs="仿宋"/>
          <w:kern w:val="0"/>
          <w:sz w:val="32"/>
          <w:szCs w:val="32"/>
        </w:rPr>
        <w:t>万元、办公设备购置</w:t>
      </w:r>
      <w:r>
        <w:rPr>
          <w:rFonts w:eastAsia="仿宋_GB2312"/>
          <w:kern w:val="0"/>
          <w:sz w:val="32"/>
          <w:szCs w:val="32"/>
        </w:rPr>
        <w:t>3.7</w:t>
      </w:r>
      <w:r>
        <w:rPr>
          <w:rFonts w:hint="eastAsia" w:ascii="仿宋_GB2312" w:hAnsi="仿宋" w:eastAsia="仿宋_GB2312" w:cs="仿宋"/>
          <w:kern w:val="0"/>
          <w:sz w:val="32"/>
          <w:szCs w:val="32"/>
        </w:rPr>
        <w:t>3万元。</w:t>
      </w:r>
    </w:p>
    <w:p w14:paraId="3FFDE813">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七、一般公共预算财政拨款项目支出决算情况说明</w:t>
      </w:r>
    </w:p>
    <w:p w14:paraId="58D3263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年度一般公共预算财政拨款项目支出决算</w:t>
      </w:r>
      <w:r>
        <w:rPr>
          <w:rFonts w:eastAsia="仿宋_GB2312"/>
          <w:kern w:val="0"/>
          <w:sz w:val="32"/>
          <w:szCs w:val="32"/>
        </w:rPr>
        <w:t>64.00</w:t>
      </w:r>
      <w:r>
        <w:rPr>
          <w:rFonts w:hint="eastAsia" w:ascii="仿宋_GB2312" w:hAnsi="仿宋" w:eastAsia="仿宋_GB2312" w:cs="仿宋"/>
          <w:kern w:val="0"/>
          <w:sz w:val="32"/>
          <w:szCs w:val="32"/>
        </w:rPr>
        <w:t>万元，其中：</w:t>
      </w:r>
    </w:p>
    <w:p w14:paraId="11ECA58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楷体_GB2312" w:hAnsi="仿宋" w:eastAsia="楷体_GB2312" w:cs="仿宋"/>
          <w:b/>
          <w:bCs/>
          <w:kern w:val="0"/>
          <w:sz w:val="32"/>
          <w:szCs w:val="32"/>
        </w:rPr>
        <w:t>（</w:t>
      </w:r>
      <w:r>
        <w:rPr>
          <w:rFonts w:hint="eastAsia" w:ascii="楷体_GB2312" w:hAnsi="仿宋" w:eastAsia="楷体_GB2312" w:cs="仿宋"/>
          <w:b/>
          <w:bCs/>
          <w:kern w:val="0"/>
          <w:sz w:val="32"/>
          <w:szCs w:val="32"/>
          <w:lang w:val="en-US" w:eastAsia="zh-CN"/>
        </w:rPr>
        <w:t>一</w:t>
      </w:r>
      <w:r>
        <w:rPr>
          <w:rFonts w:hint="eastAsia" w:ascii="楷体_GB2312" w:hAnsi="仿宋" w:eastAsia="楷体_GB2312" w:cs="仿宋"/>
          <w:b/>
          <w:bCs/>
          <w:kern w:val="0"/>
          <w:sz w:val="32"/>
          <w:szCs w:val="32"/>
        </w:rPr>
        <w:t>）商品和服务支出</w:t>
      </w:r>
      <w:r>
        <w:rPr>
          <w:rFonts w:eastAsia="楷体_GB2312"/>
          <w:kern w:val="0"/>
          <w:sz w:val="32"/>
          <w:szCs w:val="32"/>
        </w:rPr>
        <w:t>25.00</w:t>
      </w:r>
      <w:r>
        <w:rPr>
          <w:rFonts w:hint="eastAsia" w:ascii="楷体_GB2312" w:hAnsi="仿宋" w:eastAsia="楷体_GB2312" w:cs="仿宋"/>
          <w:b/>
          <w:bCs/>
          <w:kern w:val="0"/>
          <w:sz w:val="32"/>
          <w:szCs w:val="32"/>
        </w:rPr>
        <w:t>万元。</w:t>
      </w:r>
      <w:r>
        <w:rPr>
          <w:rFonts w:hint="eastAsia" w:ascii="仿宋_GB2312" w:hAnsi="仿宋" w:eastAsia="仿宋_GB2312" w:cs="仿宋"/>
          <w:kern w:val="0"/>
          <w:sz w:val="32"/>
          <w:szCs w:val="32"/>
        </w:rPr>
        <w:t>主要包括：差旅费</w:t>
      </w:r>
      <w:r>
        <w:rPr>
          <w:rFonts w:eastAsia="仿宋_GB2312"/>
          <w:kern w:val="0"/>
          <w:sz w:val="32"/>
          <w:szCs w:val="32"/>
        </w:rPr>
        <w:t>13.12</w:t>
      </w:r>
      <w:r>
        <w:rPr>
          <w:rFonts w:hint="eastAsia" w:ascii="仿宋_GB2312" w:hAnsi="仿宋" w:eastAsia="仿宋_GB2312" w:cs="仿宋"/>
          <w:kern w:val="0"/>
          <w:sz w:val="32"/>
          <w:szCs w:val="32"/>
        </w:rPr>
        <w:t>万元、维修（护）费</w:t>
      </w:r>
      <w:r>
        <w:rPr>
          <w:rFonts w:eastAsia="仿宋_GB2312"/>
          <w:kern w:val="0"/>
          <w:sz w:val="32"/>
          <w:szCs w:val="32"/>
        </w:rPr>
        <w:t>3.25</w:t>
      </w:r>
      <w:r>
        <w:rPr>
          <w:rFonts w:hint="eastAsia" w:ascii="仿宋_GB2312" w:hAnsi="仿宋" w:eastAsia="仿宋_GB2312" w:cs="仿宋"/>
          <w:kern w:val="0"/>
          <w:sz w:val="32"/>
          <w:szCs w:val="32"/>
        </w:rPr>
        <w:t>万元、租赁费</w:t>
      </w:r>
      <w:r>
        <w:rPr>
          <w:rFonts w:eastAsia="仿宋_GB2312"/>
          <w:kern w:val="0"/>
          <w:sz w:val="32"/>
          <w:szCs w:val="32"/>
        </w:rPr>
        <w:t>3.63</w:t>
      </w:r>
      <w:r>
        <w:rPr>
          <w:rFonts w:hint="eastAsia" w:ascii="仿宋_GB2312" w:hAnsi="仿宋" w:eastAsia="仿宋_GB2312" w:cs="仿宋"/>
          <w:kern w:val="0"/>
          <w:sz w:val="32"/>
          <w:szCs w:val="32"/>
        </w:rPr>
        <w:t>万元、劳务费</w:t>
      </w:r>
      <w:r>
        <w:rPr>
          <w:rFonts w:eastAsia="仿宋_GB2312"/>
          <w:kern w:val="0"/>
          <w:sz w:val="32"/>
          <w:szCs w:val="32"/>
        </w:rPr>
        <w:t>5.00</w:t>
      </w:r>
      <w:r>
        <w:rPr>
          <w:rFonts w:hint="eastAsia" w:ascii="仿宋_GB2312" w:hAnsi="仿宋" w:eastAsia="仿宋_GB2312" w:cs="仿宋"/>
          <w:kern w:val="0"/>
          <w:sz w:val="32"/>
          <w:szCs w:val="32"/>
        </w:rPr>
        <w:t>万元。</w:t>
      </w:r>
    </w:p>
    <w:p w14:paraId="6873457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eastAsia="Times New Roman"/>
          <w:kern w:val="0"/>
          <w:sz w:val="24"/>
        </w:rPr>
      </w:pPr>
      <w:r>
        <w:rPr>
          <w:rFonts w:hint="eastAsia" w:ascii="楷体_GB2312" w:hAnsi="仿宋" w:eastAsia="楷体_GB2312" w:cs="仿宋"/>
          <w:b/>
          <w:bCs/>
          <w:kern w:val="0"/>
          <w:sz w:val="32"/>
          <w:szCs w:val="32"/>
        </w:rPr>
        <w:t>（</w:t>
      </w:r>
      <w:r>
        <w:rPr>
          <w:rFonts w:hint="eastAsia" w:ascii="楷体_GB2312" w:hAnsi="仿宋" w:eastAsia="楷体_GB2312" w:cs="仿宋"/>
          <w:b/>
          <w:bCs/>
          <w:kern w:val="0"/>
          <w:sz w:val="32"/>
          <w:szCs w:val="32"/>
          <w:lang w:val="en-US" w:eastAsia="zh-CN"/>
        </w:rPr>
        <w:t>二</w:t>
      </w:r>
      <w:r>
        <w:rPr>
          <w:rFonts w:hint="eastAsia" w:ascii="楷体_GB2312" w:hAnsi="仿宋" w:eastAsia="楷体_GB2312" w:cs="仿宋"/>
          <w:b/>
          <w:bCs/>
          <w:kern w:val="0"/>
          <w:sz w:val="32"/>
          <w:szCs w:val="32"/>
        </w:rPr>
        <w:t>）资本性支出</w:t>
      </w:r>
      <w:r>
        <w:rPr>
          <w:rFonts w:eastAsia="楷体_GB2312"/>
          <w:kern w:val="0"/>
          <w:sz w:val="32"/>
          <w:szCs w:val="32"/>
        </w:rPr>
        <w:t>39.00</w:t>
      </w:r>
      <w:r>
        <w:rPr>
          <w:rFonts w:hint="eastAsia" w:ascii="楷体_GB2312" w:hAnsi="仿宋" w:eastAsia="楷体_GB2312" w:cs="仿宋"/>
          <w:b/>
          <w:bCs/>
          <w:kern w:val="0"/>
          <w:sz w:val="32"/>
          <w:szCs w:val="32"/>
        </w:rPr>
        <w:t>万元。</w:t>
      </w:r>
      <w:r>
        <w:rPr>
          <w:rFonts w:eastAsia="仿宋_GB2312"/>
          <w:kern w:val="0"/>
          <w:sz w:val="32"/>
          <w:szCs w:val="32"/>
        </w:rPr>
        <w:t>主要包括：专用设备购置14.00万元、其他交通工具购置25.00万元。</w:t>
      </w:r>
    </w:p>
    <w:p w14:paraId="5699E63D">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八、财政拨款</w:t>
      </w:r>
      <w:r>
        <w:rPr>
          <w:rFonts w:ascii="黑体" w:hAnsi="黑体" w:eastAsia="黑体"/>
          <w:bCs/>
          <w:kern w:val="0"/>
          <w:sz w:val="32"/>
          <w:szCs w:val="32"/>
        </w:rPr>
        <w:t>“</w:t>
      </w:r>
      <w:r>
        <w:rPr>
          <w:rFonts w:ascii="黑体" w:hAnsi="黑体" w:eastAsia="黑体" w:cs="黑体"/>
          <w:bCs/>
          <w:kern w:val="0"/>
          <w:sz w:val="32"/>
          <w:szCs w:val="32"/>
        </w:rPr>
        <w:t>三公</w:t>
      </w:r>
      <w:r>
        <w:rPr>
          <w:rFonts w:ascii="黑体" w:hAnsi="黑体" w:eastAsia="黑体"/>
          <w:bCs/>
          <w:kern w:val="0"/>
          <w:sz w:val="32"/>
          <w:szCs w:val="32"/>
        </w:rPr>
        <w:t>”</w:t>
      </w:r>
      <w:r>
        <w:rPr>
          <w:rFonts w:ascii="黑体" w:hAnsi="黑体" w:eastAsia="黑体" w:cs="黑体"/>
          <w:bCs/>
          <w:kern w:val="0"/>
          <w:sz w:val="32"/>
          <w:szCs w:val="32"/>
        </w:rPr>
        <w:t>经费支出决算情况说明</w:t>
      </w:r>
    </w:p>
    <w:p w14:paraId="626EF09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（一）财政拨款</w:t>
      </w:r>
      <w:r>
        <w:rPr>
          <w:rFonts w:hint="eastAsia" w:ascii="楷体_GB2312" w:eastAsia="楷体_GB2312"/>
          <w:b/>
          <w:bCs/>
          <w:kern w:val="0"/>
          <w:sz w:val="32"/>
          <w:szCs w:val="32"/>
        </w:rPr>
        <w:t>“</w:t>
      </w:r>
      <w:r>
        <w:rPr>
          <w:rFonts w:hint="eastAsia" w:ascii="楷体_GB2312" w:hAnsi="楷体" w:eastAsia="楷体_GB2312" w:cs="楷体"/>
          <w:b/>
          <w:bCs/>
          <w:kern w:val="0"/>
          <w:sz w:val="32"/>
          <w:szCs w:val="32"/>
        </w:rPr>
        <w:t>三公</w:t>
      </w:r>
      <w:r>
        <w:rPr>
          <w:rFonts w:hint="eastAsia" w:ascii="楷体_GB2312" w:eastAsia="楷体_GB2312"/>
          <w:b/>
          <w:bCs/>
          <w:kern w:val="0"/>
          <w:sz w:val="32"/>
          <w:szCs w:val="32"/>
        </w:rPr>
        <w:t>”</w:t>
      </w:r>
      <w:r>
        <w:rPr>
          <w:rFonts w:hint="eastAsia" w:ascii="楷体_GB2312" w:hAnsi="楷体" w:eastAsia="楷体_GB2312" w:cs="楷体"/>
          <w:b/>
          <w:bCs/>
          <w:kern w:val="0"/>
          <w:sz w:val="32"/>
          <w:szCs w:val="32"/>
        </w:rPr>
        <w:t>经费支出总体情况说明。</w:t>
      </w:r>
    </w:p>
    <w:p w14:paraId="681A065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年度财政拨款“三公”经费全年预算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万元，完成预算的</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。其中：因公出国（境）费全年预算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万元，完成预算的</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；公务用车购置及运行维护费全年预算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万元，完成预算的</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；公务接待费全年预算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万元，完成预算的</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w:t>
      </w:r>
      <w:r>
        <w:rPr>
          <w:rFonts w:eastAsia="仿宋_GB2312"/>
          <w:kern w:val="0"/>
          <w:sz w:val="32"/>
          <w:szCs w:val="32"/>
        </w:rPr>
        <w:t>2025</w:t>
      </w:r>
      <w:r>
        <w:rPr>
          <w:rFonts w:hint="eastAsia" w:ascii="仿宋_GB2312" w:hAnsi="仿宋" w:eastAsia="仿宋_GB2312" w:cs="仿宋"/>
          <w:kern w:val="0"/>
          <w:sz w:val="32"/>
          <w:szCs w:val="32"/>
        </w:rPr>
        <w:t>年度一般公共预算财政拨款“三公”经费全年预算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万元，与预算差异原因：</w:t>
      </w:r>
      <w:r>
        <w:rPr>
          <w:rFonts w:hint="eastAsia" w:ascii="仿宋_GB2312" w:eastAsia="仿宋_GB2312"/>
          <w:color w:val="000000"/>
          <w:kern w:val="76"/>
          <w:sz w:val="32"/>
          <w:szCs w:val="32"/>
        </w:rPr>
        <w:t>无</w:t>
      </w:r>
      <w:r>
        <w:rPr>
          <w:rFonts w:hint="eastAsia" w:ascii="仿宋_GB2312" w:hAnsi="仿宋" w:eastAsia="仿宋_GB2312" w:cs="仿宋"/>
          <w:kern w:val="0"/>
          <w:sz w:val="32"/>
          <w:szCs w:val="32"/>
        </w:rPr>
        <w:t>。</w:t>
      </w:r>
    </w:p>
    <w:p w14:paraId="5E8B3D02">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（二）财政拨款</w:t>
      </w:r>
      <w:r>
        <w:rPr>
          <w:rFonts w:hint="eastAsia" w:ascii="楷体_GB2312" w:eastAsia="楷体_GB2312"/>
          <w:b/>
          <w:bCs/>
          <w:kern w:val="0"/>
          <w:sz w:val="32"/>
          <w:szCs w:val="32"/>
        </w:rPr>
        <w:t>“</w:t>
      </w:r>
      <w:r>
        <w:rPr>
          <w:rFonts w:hint="eastAsia" w:ascii="楷体_GB2312" w:hAnsi="楷体" w:eastAsia="楷体_GB2312" w:cs="楷体"/>
          <w:b/>
          <w:bCs/>
          <w:kern w:val="0"/>
          <w:sz w:val="32"/>
          <w:szCs w:val="32"/>
        </w:rPr>
        <w:t>三公</w:t>
      </w:r>
      <w:r>
        <w:rPr>
          <w:rFonts w:hint="eastAsia" w:ascii="楷体_GB2312" w:eastAsia="楷体_GB2312"/>
          <w:b/>
          <w:bCs/>
          <w:kern w:val="0"/>
          <w:sz w:val="32"/>
          <w:szCs w:val="32"/>
        </w:rPr>
        <w:t>”</w:t>
      </w:r>
      <w:r>
        <w:rPr>
          <w:rFonts w:hint="eastAsia" w:ascii="楷体_GB2312" w:hAnsi="楷体" w:eastAsia="楷体_GB2312" w:cs="楷体"/>
          <w:b/>
          <w:bCs/>
          <w:kern w:val="0"/>
          <w:sz w:val="32"/>
          <w:szCs w:val="32"/>
        </w:rPr>
        <w:t>经费支出具体情况说明。</w:t>
      </w:r>
    </w:p>
    <w:p w14:paraId="29F0799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年度财政拨款“三公”经费支出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万元。因公出国（境）费支出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；公务用车购置及运行维护费支出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；公务接待费支出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万元，占</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。其中：</w:t>
      </w:r>
    </w:p>
    <w:p w14:paraId="4F607553">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bCs/>
          <w:kern w:val="0"/>
          <w:sz w:val="32"/>
          <w:szCs w:val="32"/>
        </w:rPr>
        <w:t>1.</w:t>
      </w:r>
      <w:r>
        <w:rPr>
          <w:rFonts w:hint="eastAsia" w:ascii="仿宋_GB2312" w:hAnsi="仿宋" w:eastAsia="仿宋_GB2312" w:cs="仿宋"/>
          <w:bCs/>
          <w:kern w:val="0"/>
          <w:sz w:val="32"/>
          <w:szCs w:val="32"/>
        </w:rPr>
        <w:t>因公出国（境）费支出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万元，全年出国（境）团组</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个，累计</w:t>
      </w:r>
      <w:r>
        <w:rPr>
          <w:rFonts w:eastAsia="仿宋_GB2312"/>
          <w:kern w:val="0"/>
          <w:sz w:val="32"/>
          <w:szCs w:val="32"/>
        </w:rPr>
        <w:t>0</w:t>
      </w:r>
      <w:r>
        <w:rPr>
          <w:rFonts w:hint="eastAsia" w:ascii="仿宋_GB2312" w:hAnsi="仿宋" w:eastAsia="仿宋_GB2312" w:cs="仿宋"/>
          <w:kern w:val="0"/>
          <w:sz w:val="32"/>
          <w:szCs w:val="32"/>
        </w:rPr>
        <w:t>人次。与上年决算相比，增加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我单位不涉及因公出国（境</w:t>
      </w:r>
      <w:r>
        <w:rPr>
          <w:rFonts w:hint="eastAsia" w:ascii="仿宋_GB2312" w:eastAsia="仿宋_GB2312"/>
          <w:color w:val="000000"/>
          <w:kern w:val="76"/>
          <w:sz w:val="32"/>
          <w:szCs w:val="32"/>
          <w:lang w:eastAsia="zh-CN"/>
        </w:rPr>
        <w:t>）</w:t>
      </w:r>
      <w:r>
        <w:rPr>
          <w:rFonts w:hint="eastAsia" w:ascii="仿宋_GB2312" w:eastAsia="仿宋_GB2312"/>
          <w:color w:val="000000"/>
          <w:kern w:val="76"/>
          <w:sz w:val="32"/>
          <w:szCs w:val="32"/>
        </w:rPr>
        <w:t>费</w:t>
      </w:r>
      <w:r>
        <w:rPr>
          <w:rFonts w:hint="eastAsia" w:ascii="仿宋_GB2312" w:hAnsi="仿宋" w:eastAsia="仿宋_GB2312" w:cs="仿宋"/>
          <w:kern w:val="0"/>
          <w:sz w:val="32"/>
          <w:szCs w:val="32"/>
        </w:rPr>
        <w:t>。</w:t>
      </w:r>
    </w:p>
    <w:p w14:paraId="6793520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eastAsia="Times New Roman"/>
          <w:kern w:val="0"/>
          <w:sz w:val="24"/>
        </w:rPr>
      </w:pPr>
      <w:r>
        <w:rPr>
          <w:rFonts w:eastAsia="Times New Roman"/>
          <w:bCs/>
          <w:kern w:val="0"/>
          <w:sz w:val="32"/>
          <w:szCs w:val="32"/>
        </w:rPr>
        <w:t>2</w:t>
      </w:r>
      <w:r>
        <w:rPr>
          <w:rFonts w:eastAsia="仿宋"/>
          <w:bCs/>
          <w:kern w:val="0"/>
          <w:sz w:val="32"/>
          <w:szCs w:val="32"/>
        </w:rPr>
        <w:t>.</w:t>
      </w:r>
      <w:r>
        <w:rPr>
          <w:rFonts w:hint="eastAsia" w:ascii="仿宋_GB2312" w:hAnsi="仿宋" w:eastAsia="仿宋_GB2312" w:cs="仿宋"/>
          <w:bCs/>
          <w:kern w:val="0"/>
          <w:sz w:val="32"/>
          <w:szCs w:val="32"/>
        </w:rPr>
        <w:t>公务用车购置及运行维护费支出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万元。其中：</w:t>
      </w:r>
    </w:p>
    <w:p w14:paraId="5D5B5D7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bCs/>
          <w:kern w:val="0"/>
          <w:sz w:val="32"/>
          <w:szCs w:val="32"/>
        </w:rPr>
        <w:t>（1）</w:t>
      </w:r>
      <w:r>
        <w:rPr>
          <w:rFonts w:hint="eastAsia" w:ascii="仿宋_GB2312" w:hAnsi="仿宋" w:eastAsia="仿宋_GB2312" w:cs="仿宋"/>
          <w:bCs/>
          <w:kern w:val="0"/>
          <w:sz w:val="32"/>
          <w:szCs w:val="32"/>
        </w:rPr>
        <w:t>公务用车购置支出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万元。本年度使用财政拨款购置公务用车</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辆，开支内容：无。与上年决算相比，增加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本年度无公务用车购置</w:t>
      </w:r>
      <w:r>
        <w:rPr>
          <w:rFonts w:hint="eastAsia" w:ascii="仿宋_GB2312" w:hAnsi="仿宋" w:eastAsia="仿宋_GB2312" w:cs="仿宋"/>
          <w:kern w:val="0"/>
          <w:sz w:val="32"/>
          <w:szCs w:val="32"/>
        </w:rPr>
        <w:t>。</w:t>
      </w:r>
    </w:p>
    <w:p w14:paraId="51DBE78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bCs/>
          <w:kern w:val="0"/>
          <w:sz w:val="32"/>
          <w:szCs w:val="32"/>
        </w:rPr>
        <w:t>（2）</w:t>
      </w:r>
      <w:r>
        <w:rPr>
          <w:rFonts w:hint="eastAsia" w:ascii="仿宋_GB2312" w:hAnsi="仿宋" w:eastAsia="仿宋_GB2312" w:cs="仿宋"/>
          <w:bCs/>
          <w:kern w:val="0"/>
          <w:sz w:val="32"/>
          <w:szCs w:val="32"/>
        </w:rPr>
        <w:t>公务用车运行维护费支出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万元。公务用车运行维护费主要用于按规定保留的公务用车的燃料费、</w:t>
      </w:r>
      <w:r>
        <w:rPr>
          <w:rFonts w:hint="eastAsia" w:ascii="仿宋_GB2312" w:hAnsi="仿宋" w:eastAsia="仿宋_GB2312" w:cs="仿宋"/>
          <w:color w:val="000000"/>
          <w:kern w:val="0"/>
          <w:sz w:val="32"/>
          <w:szCs w:val="32"/>
        </w:rPr>
        <w:t>新能源汽车充电费、</w:t>
      </w:r>
      <w:r>
        <w:rPr>
          <w:rFonts w:hint="eastAsia" w:ascii="仿宋_GB2312" w:hAnsi="仿宋" w:eastAsia="仿宋_GB2312" w:cs="仿宋"/>
          <w:kern w:val="0"/>
          <w:sz w:val="32"/>
          <w:szCs w:val="32"/>
        </w:rPr>
        <w:t>维修费、过桥过路费、保险费、安全奖励费用等支出。截至</w:t>
      </w:r>
      <w:r>
        <w:rPr>
          <w:rFonts w:eastAsia="仿宋_GB2312"/>
          <w:kern w:val="0"/>
          <w:sz w:val="32"/>
          <w:szCs w:val="32"/>
        </w:rPr>
        <w:t>2025</w:t>
      </w:r>
      <w:r>
        <w:rPr>
          <w:rFonts w:hint="eastAsia" w:ascii="仿宋_GB2312" w:hAnsi="仿宋" w:eastAsia="仿宋_GB2312" w:cs="仿宋"/>
          <w:kern w:val="0"/>
          <w:sz w:val="32"/>
          <w:szCs w:val="32"/>
        </w:rPr>
        <w:t>年</w:t>
      </w:r>
      <w:r>
        <w:rPr>
          <w:rFonts w:eastAsia="仿宋_GB2312"/>
          <w:kern w:val="0"/>
          <w:sz w:val="32"/>
          <w:szCs w:val="32"/>
        </w:rPr>
        <w:t>12</w:t>
      </w:r>
      <w:r>
        <w:rPr>
          <w:rFonts w:hint="eastAsia" w:ascii="仿宋_GB2312" w:hAnsi="仿宋" w:eastAsia="仿宋_GB2312" w:cs="仿宋"/>
          <w:kern w:val="0"/>
          <w:sz w:val="32"/>
          <w:szCs w:val="32"/>
        </w:rPr>
        <w:t>月</w:t>
      </w:r>
      <w:r>
        <w:rPr>
          <w:rFonts w:eastAsia="仿宋_GB2312"/>
          <w:kern w:val="0"/>
          <w:sz w:val="32"/>
          <w:szCs w:val="32"/>
        </w:rPr>
        <w:t>31</w:t>
      </w:r>
      <w:r>
        <w:rPr>
          <w:rFonts w:hint="eastAsia" w:ascii="仿宋_GB2312" w:hAnsi="仿宋" w:eastAsia="仿宋_GB2312" w:cs="仿宋"/>
          <w:kern w:val="0"/>
          <w:sz w:val="32"/>
          <w:szCs w:val="32"/>
        </w:rPr>
        <w:t>日，使用财政拨款开支的公务用车保有量为</w:t>
      </w:r>
      <w:r>
        <w:rPr>
          <w:rFonts w:eastAsia="仿宋_GB2312"/>
          <w:kern w:val="0"/>
          <w:sz w:val="32"/>
          <w:szCs w:val="32"/>
        </w:rPr>
        <w:t>1</w:t>
      </w:r>
      <w:r>
        <w:rPr>
          <w:rFonts w:hint="eastAsia" w:eastAsia="仿宋_GB2312"/>
          <w:kern w:val="0"/>
          <w:sz w:val="32"/>
          <w:szCs w:val="32"/>
          <w:lang w:val="en-US" w:eastAsia="zh-CN"/>
        </w:rPr>
        <w:t>4</w:t>
      </w:r>
      <w:r>
        <w:rPr>
          <w:rFonts w:hint="eastAsia" w:ascii="仿宋_GB2312" w:hAnsi="仿宋" w:eastAsia="仿宋_GB2312" w:cs="仿宋"/>
          <w:kern w:val="0"/>
          <w:sz w:val="32"/>
          <w:szCs w:val="32"/>
        </w:rPr>
        <w:t>辆。与上年决算相比，增加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，变动原因：与上年相比无变化。</w:t>
      </w:r>
    </w:p>
    <w:p w14:paraId="20DEE4E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eastAsia="仿宋_GB2312"/>
          <w:bCs/>
          <w:kern w:val="0"/>
          <w:sz w:val="32"/>
          <w:szCs w:val="32"/>
        </w:rPr>
        <w:t>3.</w:t>
      </w:r>
      <w:r>
        <w:rPr>
          <w:rFonts w:hint="eastAsia" w:ascii="仿宋_GB2312" w:hAnsi="仿宋" w:eastAsia="仿宋_GB2312" w:cs="仿宋"/>
          <w:bCs/>
          <w:kern w:val="0"/>
          <w:sz w:val="32"/>
          <w:szCs w:val="32"/>
        </w:rPr>
        <w:t>公务接待费支出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万元。其中：国内公务接待支出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万元，接待</w:t>
      </w:r>
      <w:r>
        <w:rPr>
          <w:rFonts w:eastAsia="仿宋_GB2312"/>
          <w:kern w:val="0"/>
          <w:sz w:val="32"/>
          <w:szCs w:val="32"/>
        </w:rPr>
        <w:t>0</w:t>
      </w:r>
      <w:r>
        <w:rPr>
          <w:rFonts w:hint="eastAsia" w:ascii="仿宋_GB2312" w:hAnsi="仿宋" w:eastAsia="仿宋_GB2312" w:cs="仿宋"/>
          <w:kern w:val="0"/>
          <w:sz w:val="32"/>
          <w:szCs w:val="32"/>
        </w:rPr>
        <w:t>批次，</w:t>
      </w:r>
      <w:r>
        <w:rPr>
          <w:rFonts w:eastAsia="仿宋_GB2312"/>
          <w:kern w:val="0"/>
          <w:sz w:val="32"/>
          <w:szCs w:val="32"/>
        </w:rPr>
        <w:t>0</w:t>
      </w:r>
      <w:r>
        <w:rPr>
          <w:rFonts w:hint="eastAsia" w:ascii="仿宋_GB2312" w:hAnsi="仿宋" w:eastAsia="仿宋_GB2312" w:cs="仿宋"/>
          <w:kern w:val="0"/>
          <w:sz w:val="32"/>
          <w:szCs w:val="32"/>
        </w:rPr>
        <w:t>人次，开支内容：无；国（境）外公务接待支出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万元，接待</w:t>
      </w:r>
      <w:r>
        <w:rPr>
          <w:rFonts w:eastAsia="仿宋_GB2312"/>
          <w:kern w:val="0"/>
          <w:sz w:val="32"/>
          <w:szCs w:val="32"/>
        </w:rPr>
        <w:t>0</w:t>
      </w:r>
      <w:r>
        <w:rPr>
          <w:rFonts w:hint="eastAsia" w:ascii="仿宋_GB2312" w:hAnsi="仿宋" w:eastAsia="仿宋_GB2312" w:cs="仿宋"/>
          <w:kern w:val="0"/>
          <w:sz w:val="32"/>
          <w:szCs w:val="32"/>
        </w:rPr>
        <w:t>批次，</w:t>
      </w:r>
      <w:r>
        <w:rPr>
          <w:rFonts w:eastAsia="仿宋_GB2312"/>
          <w:kern w:val="0"/>
          <w:sz w:val="32"/>
          <w:szCs w:val="32"/>
        </w:rPr>
        <w:t>0</w:t>
      </w:r>
      <w:r>
        <w:rPr>
          <w:rFonts w:hint="eastAsia" w:ascii="仿宋_GB2312" w:hAnsi="仿宋" w:eastAsia="仿宋_GB2312" w:cs="仿宋"/>
          <w:kern w:val="0"/>
          <w:sz w:val="32"/>
          <w:szCs w:val="32"/>
        </w:rPr>
        <w:t>人次，开支内容：无。与上年决算相比，增加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我单位无公务接待费</w:t>
      </w:r>
      <w:r>
        <w:rPr>
          <w:rFonts w:hint="eastAsia" w:ascii="仿宋_GB2312" w:hAnsi="仿宋" w:eastAsia="仿宋_GB2312" w:cs="仿宋"/>
          <w:kern w:val="0"/>
          <w:sz w:val="32"/>
          <w:szCs w:val="32"/>
        </w:rPr>
        <w:t>。</w:t>
      </w:r>
    </w:p>
    <w:p w14:paraId="09FF005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九、政府性基金预算财政拨款支出决算情况说明</w:t>
      </w:r>
    </w:p>
    <w:p w14:paraId="2AE83EEC">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年度政府性基金预算财政拨款支出决算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本年无政府性基金预算财政拨款</w:t>
      </w:r>
      <w:r>
        <w:rPr>
          <w:rFonts w:hint="eastAsia" w:ascii="仿宋_GB2312" w:hAnsi="仿宋" w:eastAsia="仿宋_GB2312" w:cs="仿宋"/>
          <w:kern w:val="0"/>
          <w:sz w:val="32"/>
          <w:szCs w:val="32"/>
        </w:rPr>
        <w:t>。其中：</w:t>
      </w:r>
    </w:p>
    <w:p w14:paraId="3C5626A4">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文化旅游体育与传媒支出（类）国家电影事业发展专项资金安排的支出（款）资助少数民族语电影译制（项）支出</w:t>
      </w:r>
      <w:r>
        <w:rPr>
          <w:rFonts w:eastAsia="仿宋_GB2312"/>
          <w:kern w:val="0"/>
          <w:sz w:val="32"/>
          <w:szCs w:val="32"/>
        </w:rPr>
        <w:t>0.00</w:t>
      </w:r>
      <w:r>
        <w:rPr>
          <w:rFonts w:hint="eastAsia" w:ascii="仿宋_GB2312" w:hAnsi="仿宋" w:eastAsia="仿宋_GB2312" w:cs="仿宋"/>
          <w:kern w:val="0"/>
          <w:sz w:val="32"/>
          <w:szCs w:val="32"/>
        </w:rPr>
        <w:t>万元，主要用于：</w:t>
      </w:r>
      <w:r>
        <w:rPr>
          <w:rFonts w:hint="eastAsia" w:ascii="仿宋_GB2312" w:hAnsi="仿宋" w:eastAsia="仿宋_GB2312" w:cs="仿宋"/>
          <w:kern w:val="0"/>
          <w:sz w:val="32"/>
          <w:szCs w:val="32"/>
          <w:lang w:val="en-US" w:eastAsia="zh-CN"/>
        </w:rPr>
        <w:t>本年</w:t>
      </w:r>
      <w:r>
        <w:rPr>
          <w:rFonts w:hint="eastAsia" w:ascii="仿宋_GB2312" w:eastAsia="仿宋_GB2312"/>
          <w:kern w:val="76"/>
          <w:sz w:val="32"/>
          <w:szCs w:val="32"/>
        </w:rPr>
        <w:t>无政府性基金预算财政拨款收、支、余</w:t>
      </w:r>
      <w:r>
        <w:rPr>
          <w:rFonts w:hint="eastAsia" w:ascii="仿宋_GB2312" w:hAnsi="仿宋" w:eastAsia="仿宋_GB2312" w:cs="仿宋"/>
          <w:kern w:val="0"/>
          <w:sz w:val="32"/>
          <w:szCs w:val="32"/>
        </w:rPr>
        <w:t>。</w:t>
      </w:r>
    </w:p>
    <w:p w14:paraId="4A65C78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十、国有资本经营预算财政拨款支出决算情况说明</w:t>
      </w:r>
    </w:p>
    <w:p w14:paraId="4F7936E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年度国有资本经营预算财政拨款支出决算</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万元。与上年决算相比，增加</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万元，增长</w:t>
      </w:r>
      <w:r>
        <w:rPr>
          <w:rFonts w:eastAsia="仿宋_GB2312"/>
          <w:kern w:val="0"/>
          <w:sz w:val="32"/>
          <w:szCs w:val="32"/>
        </w:rPr>
        <w:t>0</w:t>
      </w:r>
      <w:r>
        <w:rPr>
          <w:rFonts w:hint="eastAsia" w:eastAsia="仿宋_GB2312"/>
          <w:kern w:val="0"/>
          <w:sz w:val="32"/>
          <w:szCs w:val="32"/>
          <w:lang w:val="en-US" w:eastAsia="zh-CN"/>
        </w:rPr>
        <w:t>.00</w:t>
      </w:r>
      <w:r>
        <w:rPr>
          <w:rFonts w:eastAsia="仿宋_GB2312"/>
          <w:kern w:val="0"/>
          <w:sz w:val="32"/>
          <w:szCs w:val="32"/>
        </w:rPr>
        <w:t>%</w:t>
      </w:r>
      <w:r>
        <w:rPr>
          <w:rFonts w:hint="eastAsia" w:ascii="仿宋_GB2312" w:hAnsi="仿宋" w:eastAsia="仿宋_GB2312" w:cs="仿宋"/>
          <w:kern w:val="0"/>
          <w:sz w:val="32"/>
          <w:szCs w:val="32"/>
        </w:rPr>
        <w:t>，变动原因：</w:t>
      </w:r>
      <w:r>
        <w:rPr>
          <w:rFonts w:hint="eastAsia" w:ascii="仿宋_GB2312" w:eastAsia="仿宋_GB2312"/>
          <w:color w:val="000000"/>
          <w:kern w:val="76"/>
          <w:sz w:val="32"/>
          <w:szCs w:val="32"/>
        </w:rPr>
        <w:t>本</w:t>
      </w:r>
      <w:r>
        <w:rPr>
          <w:rFonts w:hint="eastAsia" w:ascii="仿宋_GB2312" w:eastAsia="仿宋_GB2312"/>
          <w:color w:val="000000"/>
          <w:kern w:val="76"/>
          <w:sz w:val="32"/>
          <w:szCs w:val="32"/>
          <w:lang w:val="en-US" w:eastAsia="zh-CN"/>
        </w:rPr>
        <w:t>年</w:t>
      </w:r>
      <w:r>
        <w:rPr>
          <w:rFonts w:hint="eastAsia" w:ascii="仿宋_GB2312" w:eastAsia="仿宋_GB2312"/>
          <w:color w:val="000000"/>
          <w:kern w:val="76"/>
          <w:sz w:val="32"/>
          <w:szCs w:val="32"/>
        </w:rPr>
        <w:t>无国有资本经营预算财政拨款收、支、余</w:t>
      </w:r>
      <w:r>
        <w:rPr>
          <w:rFonts w:hint="eastAsia" w:ascii="仿宋_GB2312" w:hAnsi="仿宋" w:eastAsia="仿宋_GB2312" w:cs="仿宋"/>
          <w:kern w:val="0"/>
          <w:sz w:val="32"/>
          <w:szCs w:val="32"/>
        </w:rPr>
        <w:t>。</w:t>
      </w:r>
    </w:p>
    <w:p w14:paraId="3B00C780">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十一、机关运行经费（公用经费）支出决算情况说明</w:t>
      </w:r>
    </w:p>
    <w:p w14:paraId="4C56B603">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年度公用经费支出决算</w:t>
      </w:r>
      <w:r>
        <w:rPr>
          <w:rFonts w:eastAsia="仿宋_GB2312"/>
          <w:kern w:val="0"/>
          <w:sz w:val="32"/>
          <w:szCs w:val="32"/>
        </w:rPr>
        <w:t>230.41</w:t>
      </w:r>
      <w:r>
        <w:rPr>
          <w:rFonts w:hint="eastAsia" w:ascii="仿宋_GB2312" w:hAnsi="仿宋" w:eastAsia="仿宋_GB2312" w:cs="仿宋"/>
          <w:kern w:val="0"/>
          <w:sz w:val="32"/>
          <w:szCs w:val="32"/>
        </w:rPr>
        <w:t>万元，与上年决算相比，增加</w:t>
      </w:r>
      <w:r>
        <w:rPr>
          <w:rFonts w:eastAsia="仿宋_GB2312"/>
          <w:kern w:val="0"/>
          <w:sz w:val="32"/>
          <w:szCs w:val="32"/>
        </w:rPr>
        <w:t>20.82</w:t>
      </w:r>
      <w:r>
        <w:rPr>
          <w:rFonts w:hint="eastAsia" w:ascii="仿宋_GB2312" w:hAnsi="仿宋" w:eastAsia="仿宋_GB2312" w:cs="仿宋"/>
          <w:kern w:val="0"/>
          <w:sz w:val="32"/>
          <w:szCs w:val="32"/>
        </w:rPr>
        <w:t>万元，增长</w:t>
      </w:r>
      <w:r>
        <w:rPr>
          <w:rFonts w:eastAsia="仿宋_GB2312"/>
          <w:kern w:val="0"/>
          <w:sz w:val="32"/>
          <w:szCs w:val="32"/>
        </w:rPr>
        <w:t>9.94%</w:t>
      </w:r>
      <w:r>
        <w:rPr>
          <w:rFonts w:hint="eastAsia" w:ascii="仿宋_GB2312" w:hAnsi="仿宋" w:eastAsia="仿宋_GB2312" w:cs="仿宋"/>
          <w:kern w:val="0"/>
          <w:sz w:val="32"/>
          <w:szCs w:val="32"/>
        </w:rPr>
        <w:t>，变动原因：我单位</w:t>
      </w:r>
      <w:r>
        <w:rPr>
          <w:rFonts w:eastAsia="仿宋_GB2312"/>
          <w:kern w:val="0"/>
          <w:sz w:val="32"/>
          <w:szCs w:val="32"/>
        </w:rPr>
        <w:t>2025</w:t>
      </w:r>
      <w:r>
        <w:rPr>
          <w:rFonts w:hint="eastAsia" w:ascii="仿宋_GB2312" w:hAnsi="仿宋" w:eastAsia="仿宋_GB2312" w:cs="仿宋"/>
          <w:kern w:val="0"/>
          <w:sz w:val="32"/>
          <w:szCs w:val="32"/>
        </w:rPr>
        <w:t>年度在职人员增加，故公用经费支出增加。其中，机关运行经费支出决算</w:t>
      </w:r>
      <w:r>
        <w:rPr>
          <w:rFonts w:eastAsia="仿宋_GB2312"/>
          <w:kern w:val="0"/>
          <w:sz w:val="32"/>
          <w:szCs w:val="32"/>
        </w:rPr>
        <w:t>230.41</w:t>
      </w:r>
      <w:r>
        <w:rPr>
          <w:rFonts w:hint="eastAsia" w:ascii="仿宋_GB2312" w:hAnsi="仿宋" w:eastAsia="仿宋_GB2312" w:cs="仿宋"/>
          <w:kern w:val="0"/>
          <w:sz w:val="32"/>
          <w:szCs w:val="32"/>
        </w:rPr>
        <w:t>万元。比上年决算相比，增加</w:t>
      </w:r>
      <w:r>
        <w:rPr>
          <w:rFonts w:eastAsia="仿宋_GB2312"/>
          <w:kern w:val="0"/>
          <w:sz w:val="32"/>
          <w:szCs w:val="32"/>
        </w:rPr>
        <w:t>20.82</w:t>
      </w:r>
      <w:r>
        <w:rPr>
          <w:rFonts w:hint="eastAsia" w:ascii="仿宋_GB2312" w:hAnsi="仿宋" w:eastAsia="仿宋_GB2312" w:cs="仿宋"/>
          <w:kern w:val="0"/>
          <w:sz w:val="32"/>
          <w:szCs w:val="32"/>
        </w:rPr>
        <w:t>万元，增长</w:t>
      </w:r>
      <w:r>
        <w:rPr>
          <w:rFonts w:eastAsia="仿宋_GB2312"/>
          <w:kern w:val="0"/>
          <w:sz w:val="32"/>
          <w:szCs w:val="32"/>
        </w:rPr>
        <w:t>9.94%</w:t>
      </w:r>
      <w:r>
        <w:rPr>
          <w:rFonts w:hint="eastAsia" w:ascii="仿宋_GB2312" w:hAnsi="仿宋" w:eastAsia="仿宋_GB2312" w:cs="仿宋"/>
          <w:kern w:val="0"/>
          <w:sz w:val="32"/>
          <w:szCs w:val="32"/>
        </w:rPr>
        <w:t>，变动原因：单位</w:t>
      </w:r>
      <w:r>
        <w:rPr>
          <w:rFonts w:eastAsia="仿宋_GB2312"/>
          <w:kern w:val="0"/>
          <w:sz w:val="32"/>
          <w:szCs w:val="32"/>
        </w:rPr>
        <w:t>2025</w:t>
      </w:r>
      <w:r>
        <w:rPr>
          <w:rFonts w:hint="eastAsia" w:ascii="仿宋_GB2312" w:hAnsi="仿宋" w:eastAsia="仿宋_GB2312" w:cs="仿宋"/>
          <w:kern w:val="0"/>
          <w:sz w:val="32"/>
          <w:szCs w:val="32"/>
        </w:rPr>
        <w:t>年度在职人员增加，</w:t>
      </w:r>
      <w:r>
        <w:rPr>
          <w:rFonts w:hint="eastAsia" w:ascii="仿宋_GB2312" w:hAnsi="仿宋" w:eastAsia="仿宋_GB2312" w:cs="仿宋"/>
          <w:kern w:val="0"/>
          <w:sz w:val="32"/>
          <w:szCs w:val="32"/>
          <w:lang w:val="en-US" w:eastAsia="zh-CN"/>
        </w:rPr>
        <w:t>因此</w:t>
      </w:r>
      <w:r>
        <w:rPr>
          <w:rFonts w:hint="eastAsia" w:ascii="仿宋_GB2312" w:hAnsi="仿宋" w:eastAsia="仿宋_GB2312" w:cs="仿宋"/>
          <w:kern w:val="0"/>
          <w:sz w:val="32"/>
          <w:szCs w:val="32"/>
        </w:rPr>
        <w:t>公用经费支出增加。</w:t>
      </w:r>
    </w:p>
    <w:p w14:paraId="252DD89D">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十二、政府采购支出决算情况说明</w:t>
      </w:r>
    </w:p>
    <w:p w14:paraId="669A291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w:t>
      </w:r>
      <w:r>
        <w:rPr>
          <w:rFonts w:eastAsia="仿宋_GB2312"/>
          <w:kern w:val="0"/>
          <w:sz w:val="32"/>
          <w:szCs w:val="32"/>
        </w:rPr>
        <w:t>2025</w:t>
      </w:r>
      <w:r>
        <w:rPr>
          <w:rFonts w:hint="eastAsia" w:ascii="仿宋_GB2312" w:hAnsi="仿宋" w:eastAsia="仿宋_GB2312" w:cs="仿宋"/>
          <w:kern w:val="0"/>
          <w:sz w:val="32"/>
          <w:szCs w:val="32"/>
        </w:rPr>
        <w:t>年度政府采购支出总额</w:t>
      </w:r>
      <w:r>
        <w:rPr>
          <w:rFonts w:eastAsia="仿宋_GB2312"/>
          <w:kern w:val="0"/>
          <w:sz w:val="32"/>
          <w:szCs w:val="32"/>
        </w:rPr>
        <w:t>10.48</w:t>
      </w:r>
      <w:r>
        <w:rPr>
          <w:rFonts w:hint="eastAsia" w:ascii="仿宋_GB2312" w:hAnsi="仿宋" w:eastAsia="仿宋_GB2312" w:cs="仿宋"/>
          <w:kern w:val="0"/>
          <w:sz w:val="32"/>
          <w:szCs w:val="32"/>
        </w:rPr>
        <w:t>万元，其中：政府采购货物支出</w:t>
      </w:r>
      <w:r>
        <w:rPr>
          <w:rFonts w:eastAsia="仿宋_GB2312"/>
          <w:kern w:val="0"/>
          <w:sz w:val="32"/>
          <w:szCs w:val="32"/>
        </w:rPr>
        <w:t>0.62</w:t>
      </w:r>
      <w:r>
        <w:rPr>
          <w:rFonts w:hint="eastAsia" w:ascii="仿宋_GB2312" w:hAnsi="仿宋" w:eastAsia="仿宋_GB2312" w:cs="仿宋"/>
          <w:kern w:val="0"/>
          <w:sz w:val="32"/>
          <w:szCs w:val="32"/>
        </w:rPr>
        <w:t>万元、政府采购工程支出</w:t>
      </w:r>
      <w:r>
        <w:rPr>
          <w:rFonts w:eastAsia="仿宋_GB2312"/>
          <w:kern w:val="0"/>
          <w:sz w:val="32"/>
          <w:szCs w:val="32"/>
        </w:rPr>
        <w:t>0</w:t>
      </w:r>
      <w:r>
        <w:rPr>
          <w:rFonts w:hint="eastAsia" w:eastAsia="仿宋_GB2312"/>
          <w:kern w:val="0"/>
          <w:sz w:val="32"/>
          <w:szCs w:val="32"/>
          <w:lang w:val="en-US" w:eastAsia="zh-CN"/>
        </w:rPr>
        <w:t>.00</w:t>
      </w:r>
      <w:r>
        <w:rPr>
          <w:rFonts w:hint="eastAsia" w:ascii="仿宋_GB2312" w:hAnsi="仿宋" w:eastAsia="仿宋_GB2312" w:cs="仿宋"/>
          <w:kern w:val="0"/>
          <w:sz w:val="32"/>
          <w:szCs w:val="32"/>
        </w:rPr>
        <w:t>万元、政府采购服务支出</w:t>
      </w:r>
      <w:r>
        <w:rPr>
          <w:rFonts w:eastAsia="仿宋_GB2312"/>
          <w:kern w:val="0"/>
          <w:sz w:val="32"/>
          <w:szCs w:val="32"/>
        </w:rPr>
        <w:t>9.87</w:t>
      </w:r>
      <w:r>
        <w:rPr>
          <w:rFonts w:hint="eastAsia" w:ascii="仿宋_GB2312" w:hAnsi="仿宋" w:eastAsia="仿宋_GB2312" w:cs="仿宋"/>
          <w:kern w:val="0"/>
          <w:sz w:val="32"/>
          <w:szCs w:val="32"/>
        </w:rPr>
        <w:t>万元。政府采购授予中小企业合同金额</w:t>
      </w:r>
      <w:r>
        <w:rPr>
          <w:rFonts w:eastAsia="仿宋_GB2312"/>
          <w:kern w:val="0"/>
          <w:sz w:val="32"/>
          <w:szCs w:val="32"/>
        </w:rPr>
        <w:t>4.42</w:t>
      </w:r>
      <w:r>
        <w:rPr>
          <w:rFonts w:hint="eastAsia" w:ascii="仿宋_GB2312" w:hAnsi="仿宋" w:eastAsia="仿宋_GB2312" w:cs="仿宋"/>
          <w:kern w:val="0"/>
          <w:sz w:val="32"/>
          <w:szCs w:val="32"/>
        </w:rPr>
        <w:t>万元，占政府采购支出总额的</w:t>
      </w:r>
      <w:r>
        <w:rPr>
          <w:rFonts w:eastAsia="仿宋_GB2312"/>
          <w:kern w:val="0"/>
          <w:sz w:val="32"/>
          <w:szCs w:val="32"/>
        </w:rPr>
        <w:t>42.18%</w:t>
      </w:r>
      <w:r>
        <w:rPr>
          <w:rFonts w:hint="eastAsia" w:ascii="仿宋_GB2312" w:hAnsi="仿宋" w:eastAsia="仿宋_GB2312" w:cs="仿宋"/>
          <w:kern w:val="0"/>
          <w:sz w:val="32"/>
          <w:szCs w:val="32"/>
        </w:rPr>
        <w:t>，其中：授予小微企业合同金额</w:t>
      </w:r>
      <w:r>
        <w:rPr>
          <w:rFonts w:eastAsia="仿宋_GB2312"/>
          <w:kern w:val="0"/>
          <w:sz w:val="32"/>
          <w:szCs w:val="32"/>
        </w:rPr>
        <w:t>4.42</w:t>
      </w:r>
      <w:r>
        <w:rPr>
          <w:rFonts w:hint="eastAsia" w:ascii="仿宋_GB2312" w:hAnsi="仿宋" w:eastAsia="仿宋_GB2312" w:cs="仿宋"/>
          <w:kern w:val="0"/>
          <w:sz w:val="32"/>
          <w:szCs w:val="32"/>
        </w:rPr>
        <w:t>万元，占政府采购支出总额的</w:t>
      </w:r>
      <w:r>
        <w:rPr>
          <w:rFonts w:eastAsia="仿宋_GB2312"/>
          <w:kern w:val="0"/>
          <w:sz w:val="32"/>
          <w:szCs w:val="32"/>
        </w:rPr>
        <w:t>42.18%</w:t>
      </w:r>
      <w:r>
        <w:rPr>
          <w:rFonts w:hint="eastAsia" w:ascii="仿宋_GB2312" w:hAnsi="仿宋" w:eastAsia="仿宋_GB2312" w:cs="仿宋"/>
          <w:kern w:val="0"/>
          <w:sz w:val="32"/>
          <w:szCs w:val="32"/>
        </w:rPr>
        <w:t>；货物采购授予中小企业合同金额占货物支出金额的</w:t>
      </w:r>
      <w:r>
        <w:rPr>
          <w:rFonts w:eastAsia="仿宋_GB2312"/>
          <w:kern w:val="0"/>
          <w:sz w:val="32"/>
          <w:szCs w:val="32"/>
        </w:rPr>
        <w:t>0.00%</w:t>
      </w:r>
      <w:r>
        <w:rPr>
          <w:rFonts w:hint="eastAsia" w:ascii="仿宋_GB2312" w:hAnsi="仿宋" w:eastAsia="仿宋_GB2312" w:cs="仿宋"/>
          <w:kern w:val="0"/>
          <w:sz w:val="32"/>
          <w:szCs w:val="32"/>
        </w:rPr>
        <w:t>，工程采购授予中小企业合同金额占工程支出金额的</w:t>
      </w:r>
      <w:r>
        <w:rPr>
          <w:rFonts w:eastAsia="仿宋_GB2312"/>
          <w:kern w:val="0"/>
          <w:sz w:val="32"/>
          <w:szCs w:val="32"/>
        </w:rPr>
        <w:t>0.00%</w:t>
      </w:r>
      <w:r>
        <w:rPr>
          <w:rFonts w:hint="eastAsia" w:ascii="仿宋_GB2312" w:hAnsi="仿宋" w:eastAsia="仿宋_GB2312" w:cs="仿宋"/>
          <w:kern w:val="0"/>
          <w:sz w:val="32"/>
          <w:szCs w:val="32"/>
        </w:rPr>
        <w:t>，服务采购授予中小企业合同金额占服务支出金额的</w:t>
      </w:r>
      <w:r>
        <w:rPr>
          <w:rFonts w:eastAsia="仿宋_GB2312"/>
          <w:kern w:val="0"/>
          <w:sz w:val="32"/>
          <w:szCs w:val="32"/>
        </w:rPr>
        <w:t>44.78%</w:t>
      </w:r>
      <w:r>
        <w:rPr>
          <w:rFonts w:hint="eastAsia" w:ascii="仿宋_GB2312" w:hAnsi="仿宋" w:eastAsia="仿宋_GB2312" w:cs="仿宋"/>
          <w:kern w:val="0"/>
          <w:sz w:val="32"/>
          <w:szCs w:val="32"/>
        </w:rPr>
        <w:t>。</w:t>
      </w:r>
    </w:p>
    <w:p w14:paraId="4169BEC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十三、国有资产占用情况说明</w:t>
      </w:r>
    </w:p>
    <w:p w14:paraId="706A21D0">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内蒙古大兴安岭森林公安局吉文分局截至</w:t>
      </w:r>
      <w:r>
        <w:rPr>
          <w:rFonts w:eastAsia="仿宋_GB2312"/>
          <w:kern w:val="0"/>
          <w:sz w:val="32"/>
          <w:szCs w:val="32"/>
        </w:rPr>
        <w:t>2025</w:t>
      </w:r>
      <w:r>
        <w:rPr>
          <w:rFonts w:hint="eastAsia" w:ascii="仿宋_GB2312" w:hAnsi="仿宋" w:eastAsia="仿宋_GB2312" w:cs="仿宋"/>
          <w:kern w:val="0"/>
          <w:sz w:val="32"/>
          <w:szCs w:val="32"/>
        </w:rPr>
        <w:t>年</w:t>
      </w:r>
      <w:r>
        <w:rPr>
          <w:rFonts w:eastAsia="仿宋_GB2312"/>
          <w:kern w:val="0"/>
          <w:sz w:val="32"/>
          <w:szCs w:val="32"/>
        </w:rPr>
        <w:t>12</w:t>
      </w:r>
      <w:r>
        <w:rPr>
          <w:rFonts w:hint="eastAsia" w:ascii="仿宋_GB2312" w:hAnsi="仿宋" w:eastAsia="仿宋_GB2312" w:cs="仿宋"/>
          <w:kern w:val="0"/>
          <w:sz w:val="32"/>
          <w:szCs w:val="32"/>
        </w:rPr>
        <w:t>月</w:t>
      </w:r>
      <w:r>
        <w:rPr>
          <w:rFonts w:eastAsia="仿宋_GB2312"/>
          <w:kern w:val="0"/>
          <w:sz w:val="32"/>
          <w:szCs w:val="32"/>
        </w:rPr>
        <w:t>31</w:t>
      </w:r>
      <w:r>
        <w:rPr>
          <w:rFonts w:hint="eastAsia" w:ascii="仿宋_GB2312" w:hAnsi="仿宋" w:eastAsia="仿宋_GB2312" w:cs="仿宋"/>
          <w:kern w:val="0"/>
          <w:sz w:val="32"/>
          <w:szCs w:val="32"/>
        </w:rPr>
        <w:t>日，本单位共有车辆</w:t>
      </w:r>
      <w:r>
        <w:rPr>
          <w:rFonts w:eastAsia="仿宋_GB2312"/>
          <w:kern w:val="0"/>
          <w:sz w:val="32"/>
          <w:szCs w:val="32"/>
        </w:rPr>
        <w:t>1</w:t>
      </w:r>
      <w:r>
        <w:rPr>
          <w:rFonts w:hint="eastAsia" w:eastAsia="仿宋_GB2312"/>
          <w:kern w:val="0"/>
          <w:sz w:val="32"/>
          <w:szCs w:val="32"/>
          <w:lang w:val="en-US" w:eastAsia="zh-CN"/>
        </w:rPr>
        <w:t>4</w:t>
      </w:r>
      <w:r>
        <w:rPr>
          <w:rFonts w:hint="eastAsia" w:ascii="仿宋_GB2312" w:hAnsi="仿宋" w:eastAsia="仿宋_GB2312" w:cs="仿宋"/>
          <w:kern w:val="0"/>
          <w:sz w:val="32"/>
          <w:szCs w:val="32"/>
        </w:rPr>
        <w:t>辆，其中：副部（省）级及以上领导用车</w:t>
      </w:r>
      <w:r>
        <w:rPr>
          <w:rFonts w:eastAsia="仿宋_GB2312"/>
          <w:kern w:val="0"/>
          <w:sz w:val="32"/>
          <w:szCs w:val="32"/>
        </w:rPr>
        <w:t>0</w:t>
      </w:r>
      <w:r>
        <w:rPr>
          <w:rFonts w:hint="eastAsia" w:ascii="仿宋_GB2312" w:hAnsi="仿宋" w:eastAsia="仿宋_GB2312" w:cs="仿宋"/>
          <w:kern w:val="0"/>
          <w:sz w:val="32"/>
          <w:szCs w:val="32"/>
        </w:rPr>
        <w:t>辆、主要负责人用车</w:t>
      </w:r>
      <w:r>
        <w:rPr>
          <w:rFonts w:eastAsia="仿宋_GB2312"/>
          <w:kern w:val="0"/>
          <w:sz w:val="32"/>
          <w:szCs w:val="32"/>
        </w:rPr>
        <w:t>0</w:t>
      </w:r>
      <w:r>
        <w:rPr>
          <w:rFonts w:hint="eastAsia" w:ascii="仿宋_GB2312" w:hAnsi="仿宋" w:eastAsia="仿宋_GB2312" w:cs="仿宋"/>
          <w:kern w:val="0"/>
          <w:sz w:val="32"/>
          <w:szCs w:val="32"/>
        </w:rPr>
        <w:t>辆、机要通信用车</w:t>
      </w:r>
      <w:r>
        <w:rPr>
          <w:rFonts w:eastAsia="仿宋_GB2312"/>
          <w:kern w:val="0"/>
          <w:sz w:val="32"/>
          <w:szCs w:val="32"/>
        </w:rPr>
        <w:t>0</w:t>
      </w:r>
      <w:r>
        <w:rPr>
          <w:rFonts w:hint="eastAsia" w:ascii="仿宋_GB2312" w:hAnsi="仿宋" w:eastAsia="仿宋_GB2312" w:cs="仿宋"/>
          <w:kern w:val="0"/>
          <w:sz w:val="32"/>
          <w:szCs w:val="32"/>
        </w:rPr>
        <w:t>辆、应急保障用车</w:t>
      </w:r>
      <w:r>
        <w:rPr>
          <w:rFonts w:eastAsia="仿宋_GB2312"/>
          <w:kern w:val="0"/>
          <w:sz w:val="32"/>
          <w:szCs w:val="32"/>
        </w:rPr>
        <w:t>0</w:t>
      </w:r>
      <w:r>
        <w:rPr>
          <w:rFonts w:hint="eastAsia" w:ascii="仿宋_GB2312" w:hAnsi="仿宋" w:eastAsia="仿宋_GB2312" w:cs="仿宋"/>
          <w:kern w:val="0"/>
          <w:sz w:val="32"/>
          <w:szCs w:val="32"/>
        </w:rPr>
        <w:t>辆、执法执勤用车</w:t>
      </w:r>
      <w:r>
        <w:rPr>
          <w:rFonts w:eastAsia="仿宋_GB2312"/>
          <w:kern w:val="0"/>
          <w:sz w:val="32"/>
          <w:szCs w:val="32"/>
        </w:rPr>
        <w:t>1</w:t>
      </w:r>
      <w:r>
        <w:rPr>
          <w:rFonts w:hint="eastAsia" w:eastAsia="仿宋_GB2312"/>
          <w:kern w:val="0"/>
          <w:sz w:val="32"/>
          <w:szCs w:val="32"/>
          <w:lang w:val="en-US" w:eastAsia="zh-CN"/>
        </w:rPr>
        <w:t>4</w:t>
      </w:r>
      <w:r>
        <w:rPr>
          <w:rFonts w:hint="eastAsia" w:ascii="仿宋_GB2312" w:hAnsi="仿宋" w:eastAsia="仿宋_GB2312" w:cs="仿宋"/>
          <w:kern w:val="0"/>
          <w:sz w:val="32"/>
          <w:szCs w:val="32"/>
        </w:rPr>
        <w:t>辆、特种专业技术用车</w:t>
      </w:r>
      <w:r>
        <w:rPr>
          <w:rFonts w:eastAsia="仿宋_GB2312"/>
          <w:kern w:val="0"/>
          <w:sz w:val="32"/>
          <w:szCs w:val="32"/>
        </w:rPr>
        <w:t>0</w:t>
      </w:r>
      <w:r>
        <w:rPr>
          <w:rFonts w:hint="eastAsia" w:ascii="仿宋_GB2312" w:hAnsi="仿宋" w:eastAsia="仿宋_GB2312" w:cs="仿宋"/>
          <w:kern w:val="0"/>
          <w:sz w:val="32"/>
          <w:szCs w:val="32"/>
        </w:rPr>
        <w:t>辆、离退休干部服务用车</w:t>
      </w:r>
      <w:r>
        <w:rPr>
          <w:rFonts w:eastAsia="仿宋_GB2312"/>
          <w:kern w:val="0"/>
          <w:sz w:val="32"/>
          <w:szCs w:val="32"/>
        </w:rPr>
        <w:t>0</w:t>
      </w:r>
      <w:r>
        <w:rPr>
          <w:rFonts w:hint="eastAsia" w:ascii="仿宋_GB2312" w:hAnsi="仿宋" w:eastAsia="仿宋_GB2312" w:cs="仿宋"/>
          <w:kern w:val="0"/>
          <w:sz w:val="32"/>
          <w:szCs w:val="32"/>
        </w:rPr>
        <w:t>辆、其他用车</w:t>
      </w:r>
      <w:r>
        <w:rPr>
          <w:rFonts w:eastAsia="仿宋_GB2312"/>
          <w:kern w:val="0"/>
          <w:sz w:val="32"/>
          <w:szCs w:val="32"/>
        </w:rPr>
        <w:t>0</w:t>
      </w:r>
      <w:r>
        <w:rPr>
          <w:rFonts w:hint="eastAsia" w:ascii="仿宋_GB2312" w:hAnsi="仿宋" w:eastAsia="仿宋_GB2312" w:cs="仿宋"/>
          <w:kern w:val="0"/>
          <w:sz w:val="32"/>
          <w:szCs w:val="32"/>
        </w:rPr>
        <w:t>辆，其他用车主要是无其他用车；单价</w:t>
      </w:r>
      <w:r>
        <w:rPr>
          <w:rFonts w:eastAsia="仿宋_GB2312"/>
          <w:kern w:val="0"/>
          <w:sz w:val="32"/>
          <w:szCs w:val="32"/>
        </w:rPr>
        <w:t>100</w:t>
      </w:r>
      <w:r>
        <w:rPr>
          <w:rFonts w:hint="eastAsia" w:ascii="仿宋_GB2312" w:hAnsi="仿宋" w:eastAsia="仿宋_GB2312" w:cs="仿宋"/>
          <w:kern w:val="0"/>
          <w:sz w:val="32"/>
          <w:szCs w:val="32"/>
        </w:rPr>
        <w:t>万元（含）以上设备（不含车辆）</w:t>
      </w:r>
      <w:r>
        <w:rPr>
          <w:rFonts w:eastAsia="仿宋_GB2312"/>
          <w:kern w:val="0"/>
          <w:sz w:val="32"/>
          <w:szCs w:val="32"/>
        </w:rPr>
        <w:t>0</w:t>
      </w:r>
      <w:r>
        <w:rPr>
          <w:rFonts w:hint="eastAsia" w:ascii="仿宋_GB2312" w:hAnsi="仿宋" w:eastAsia="仿宋_GB2312" w:cs="仿宋"/>
          <w:kern w:val="0"/>
          <w:sz w:val="32"/>
          <w:szCs w:val="32"/>
        </w:rPr>
        <w:t>台（套）。</w:t>
      </w:r>
    </w:p>
    <w:p w14:paraId="54E40D5C">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黑体" w:hAnsi="黑体" w:eastAsia="黑体"/>
          <w:kern w:val="0"/>
          <w:sz w:val="24"/>
        </w:rPr>
      </w:pPr>
      <w:r>
        <w:rPr>
          <w:rFonts w:ascii="黑体" w:hAnsi="黑体" w:eastAsia="黑体" w:cs="黑体"/>
          <w:bCs/>
          <w:kern w:val="0"/>
          <w:sz w:val="32"/>
          <w:szCs w:val="32"/>
        </w:rPr>
        <w:t>十四、预算绩效情况说明</w:t>
      </w:r>
    </w:p>
    <w:p w14:paraId="61BAA81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（一）预算绩效管理工作开展情况。</w:t>
      </w:r>
    </w:p>
    <w:p w14:paraId="5179678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内蒙古大兴安岭森林公安局吉文分局根据预算绩效管理要求组织对</w:t>
      </w:r>
      <w:r>
        <w:rPr>
          <w:rFonts w:eastAsia="仿宋_GB2312"/>
          <w:kern w:val="0"/>
          <w:sz w:val="32"/>
          <w:szCs w:val="32"/>
        </w:rPr>
        <w:t>2025</w:t>
      </w:r>
      <w:r>
        <w:rPr>
          <w:rFonts w:hint="eastAsia" w:ascii="仿宋_GB2312" w:hAnsi="仿宋" w:eastAsia="仿宋_GB2312" w:cs="仿宋"/>
          <w:kern w:val="0"/>
          <w:sz w:val="32"/>
          <w:szCs w:val="32"/>
        </w:rPr>
        <w:t>年一般公共预算项目支出全面开展绩效自评，</w:t>
      </w:r>
      <w:r>
        <w:rPr>
          <w:rFonts w:hint="eastAsia" w:ascii="仿宋_GB2312" w:eastAsia="仿宋_GB2312"/>
          <w:kern w:val="0"/>
          <w:sz w:val="32"/>
          <w:szCs w:val="32"/>
        </w:rPr>
        <w:t>其中一级项目</w:t>
      </w:r>
      <w:r>
        <w:rPr>
          <w:rFonts w:eastAsia="仿宋_GB2312"/>
          <w:kern w:val="0"/>
          <w:sz w:val="32"/>
          <w:szCs w:val="32"/>
        </w:rPr>
        <w:t>0</w:t>
      </w:r>
      <w:r>
        <w:rPr>
          <w:rFonts w:hint="eastAsia" w:ascii="仿宋_GB2312" w:eastAsia="仿宋_GB2312"/>
          <w:kern w:val="0"/>
          <w:sz w:val="32"/>
          <w:szCs w:val="32"/>
        </w:rPr>
        <w:t>个，二级项目</w:t>
      </w:r>
      <w:r>
        <w:rPr>
          <w:rFonts w:eastAsia="仿宋_GB2312"/>
          <w:kern w:val="0"/>
          <w:sz w:val="32"/>
          <w:szCs w:val="32"/>
        </w:rPr>
        <w:t>2</w:t>
      </w:r>
      <w:r>
        <w:rPr>
          <w:rFonts w:hint="eastAsia" w:ascii="仿宋_GB2312" w:eastAsia="仿宋_GB2312"/>
          <w:kern w:val="0"/>
          <w:sz w:val="32"/>
          <w:szCs w:val="32"/>
        </w:rPr>
        <w:t>个，共涉及资金</w:t>
      </w:r>
      <w:r>
        <w:rPr>
          <w:rFonts w:hint="eastAsia" w:eastAsia="仿宋_GB2312"/>
          <w:kern w:val="0"/>
          <w:sz w:val="32"/>
          <w:szCs w:val="32"/>
        </w:rPr>
        <w:t>19</w:t>
      </w:r>
      <w:r>
        <w:rPr>
          <w:rFonts w:eastAsia="仿宋_GB2312"/>
          <w:kern w:val="0"/>
          <w:sz w:val="32"/>
          <w:szCs w:val="32"/>
        </w:rPr>
        <w:t>.00</w:t>
      </w:r>
      <w:r>
        <w:rPr>
          <w:rFonts w:hint="eastAsia" w:ascii="仿宋_GB2312" w:eastAsia="仿宋_GB2312"/>
          <w:kern w:val="0"/>
          <w:sz w:val="32"/>
          <w:szCs w:val="32"/>
        </w:rPr>
        <w:t>万元，占一般公共预算非涉密项目支出总额的</w:t>
      </w:r>
      <w:r>
        <w:rPr>
          <w:rFonts w:eastAsia="仿宋_GB2312"/>
          <w:kern w:val="0"/>
          <w:sz w:val="32"/>
          <w:szCs w:val="32"/>
        </w:rPr>
        <w:t>100%</w:t>
      </w:r>
      <w:r>
        <w:rPr>
          <w:rFonts w:hint="eastAsia" w:ascii="仿宋_GB2312" w:eastAsia="仿宋_GB2312"/>
          <w:kern w:val="0"/>
          <w:sz w:val="32"/>
          <w:szCs w:val="32"/>
        </w:rPr>
        <w:t>；</w:t>
      </w:r>
    </w:p>
    <w:p w14:paraId="40A6226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ascii="仿宋_GB2312" w:eastAsia="仿宋_GB2312"/>
          <w:kern w:val="0"/>
          <w:sz w:val="32"/>
          <w:szCs w:val="32"/>
        </w:rPr>
      </w:pPr>
      <w:r>
        <w:rPr>
          <w:rFonts w:hint="eastAsia" w:ascii="仿宋_GB2312" w:hAnsi="仿宋" w:eastAsia="仿宋_GB2312" w:cs="仿宋"/>
          <w:kern w:val="0"/>
          <w:sz w:val="32"/>
          <w:szCs w:val="32"/>
        </w:rPr>
        <w:t>组织</w:t>
      </w:r>
      <w:r>
        <w:rPr>
          <w:rFonts w:hint="eastAsia" w:ascii="仿宋_GB2312" w:eastAsia="仿宋_GB2312"/>
          <w:kern w:val="0"/>
          <w:sz w:val="32"/>
          <w:szCs w:val="32"/>
        </w:rPr>
        <w:t>对“办案（业务）经费项目”、“公安专用装备购置与设施购建项目”等</w:t>
      </w:r>
      <w:r>
        <w:rPr>
          <w:rFonts w:eastAsia="仿宋_GB2312"/>
          <w:kern w:val="0"/>
          <w:sz w:val="32"/>
          <w:szCs w:val="32"/>
        </w:rPr>
        <w:t>2</w:t>
      </w:r>
      <w:r>
        <w:rPr>
          <w:rFonts w:hint="eastAsia" w:ascii="仿宋_GB2312" w:eastAsia="仿宋_GB2312"/>
          <w:kern w:val="0"/>
          <w:sz w:val="32"/>
          <w:szCs w:val="32"/>
        </w:rPr>
        <w:t>个项目开展了项目自评，涉及一般公共预算支出</w:t>
      </w:r>
      <w:r>
        <w:rPr>
          <w:rFonts w:hint="eastAsia" w:eastAsia="仿宋_GB2312"/>
          <w:kern w:val="0"/>
          <w:sz w:val="32"/>
          <w:szCs w:val="32"/>
        </w:rPr>
        <w:t>19</w:t>
      </w:r>
      <w:r>
        <w:rPr>
          <w:rFonts w:eastAsia="仿宋_GB2312"/>
          <w:kern w:val="0"/>
          <w:sz w:val="32"/>
          <w:szCs w:val="32"/>
        </w:rPr>
        <w:t>.00</w:t>
      </w:r>
      <w:r>
        <w:rPr>
          <w:rFonts w:hint="eastAsia" w:ascii="仿宋_GB2312" w:eastAsia="仿宋_GB2312"/>
          <w:kern w:val="0"/>
          <w:sz w:val="32"/>
          <w:szCs w:val="32"/>
        </w:rPr>
        <w:t>万元，无其他类资金项目。其中，对“办案（业务）经费项目”、“公安专用装备购置与设施购建项目”分别开展绩效自评。从评价情况看，以上项目的实施，使公安工作有序开展，基础保障条件得到改善，装备物资得到有力保障，经费对公安工作支撑力强，深层次支持了公安业务决策和科技发展，但仍存在部分项目绩效目标编制不够科学精准、实施较计划有所延迟、效益及满意度分析有待加强等问题。针对上述问题，我单位将进一步夯实预算编制基础，完善绩效目标审核机制，加强责任落实和沟通协调，确保项目有序实施；注重项目绩效总结与满意度调查分析，全面提高资金使用效益。</w:t>
      </w:r>
    </w:p>
    <w:p w14:paraId="734D26A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eastAsia="Times New Roman"/>
          <w:kern w:val="0"/>
          <w:sz w:val="24"/>
        </w:rPr>
      </w:pPr>
      <w:r>
        <w:rPr>
          <w:rFonts w:ascii="楷体" w:hAnsi="楷体" w:eastAsia="楷体" w:cs="楷体"/>
          <w:b/>
          <w:bCs/>
          <w:kern w:val="0"/>
          <w:sz w:val="32"/>
          <w:szCs w:val="32"/>
        </w:rPr>
        <w:t>（二）单位决算中项目绩效自评结果。</w:t>
      </w:r>
    </w:p>
    <w:p w14:paraId="3802352E">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eastAsia="Times New Roman"/>
          <w:kern w:val="0"/>
          <w:sz w:val="24"/>
        </w:rPr>
      </w:pPr>
      <w:r>
        <w:rPr>
          <w:rFonts w:ascii="仿宋" w:hAnsi="仿宋" w:eastAsia="仿宋" w:cs="仿宋"/>
          <w:kern w:val="0"/>
          <w:sz w:val="32"/>
          <w:szCs w:val="32"/>
        </w:rPr>
        <w:t>内蒙古大兴安岭森林公安局吉文分局</w:t>
      </w:r>
      <w:r>
        <w:rPr>
          <w:rFonts w:eastAsia="Times New Roman"/>
          <w:kern w:val="0"/>
          <w:sz w:val="32"/>
          <w:szCs w:val="32"/>
        </w:rPr>
        <w:t>2025</w:t>
      </w:r>
      <w:r>
        <w:rPr>
          <w:rFonts w:ascii="仿宋" w:hAnsi="仿宋" w:eastAsia="仿宋" w:cs="仿宋"/>
          <w:kern w:val="0"/>
          <w:sz w:val="32"/>
          <w:szCs w:val="32"/>
        </w:rPr>
        <w:t>年度在决算中反映</w:t>
      </w:r>
      <w:r>
        <w:rPr>
          <w:rFonts w:hint="eastAsia" w:eastAsiaTheme="minorEastAsia"/>
          <w:kern w:val="0"/>
          <w:sz w:val="32"/>
          <w:szCs w:val="32"/>
        </w:rPr>
        <w:t>2</w:t>
      </w:r>
      <w:r>
        <w:rPr>
          <w:rFonts w:ascii="仿宋" w:hAnsi="仿宋" w:eastAsia="仿宋" w:cs="仿宋"/>
          <w:kern w:val="0"/>
          <w:sz w:val="32"/>
          <w:szCs w:val="32"/>
        </w:rPr>
        <w:t>个一般公共预算项目的绩效自评结果。</w:t>
      </w:r>
    </w:p>
    <w:p w14:paraId="3266C634">
      <w:pPr>
        <w:pStyle w:val="29"/>
        <w:keepNext w:val="0"/>
        <w:keepLines w:val="0"/>
        <w:pageBreakBefore w:val="0"/>
        <w:widowControl/>
        <w:numPr>
          <w:ilvl w:val="0"/>
          <w:numId w:val="1"/>
        </w:numPr>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 w:eastAsia="仿宋_GB2312" w:cs="仿宋"/>
          <w:kern w:val="0"/>
          <w:sz w:val="32"/>
          <w:szCs w:val="32"/>
        </w:rPr>
        <w:t>办案（业务）经费项目自评综述：根据年初设定的绩效目标，项目自评得分</w:t>
      </w:r>
      <w:r>
        <w:rPr>
          <w:rFonts w:eastAsia="仿宋_GB2312"/>
          <w:kern w:val="0"/>
          <w:sz w:val="32"/>
          <w:szCs w:val="32"/>
        </w:rPr>
        <w:t>100.00</w:t>
      </w:r>
      <w:r>
        <w:rPr>
          <w:rFonts w:hint="eastAsia" w:ascii="仿宋_GB2312" w:hAnsi="仿宋" w:eastAsia="仿宋_GB2312" w:cs="仿宋"/>
          <w:kern w:val="0"/>
          <w:sz w:val="32"/>
          <w:szCs w:val="32"/>
        </w:rPr>
        <w:t>分。全年预算数为</w:t>
      </w:r>
      <w:r>
        <w:rPr>
          <w:rFonts w:eastAsia="仿宋_GB2312"/>
          <w:kern w:val="0"/>
          <w:sz w:val="32"/>
          <w:szCs w:val="32"/>
        </w:rPr>
        <w:t>5.00</w:t>
      </w:r>
      <w:r>
        <w:rPr>
          <w:rFonts w:hint="eastAsia" w:ascii="仿宋_GB2312" w:hAnsi="仿宋" w:eastAsia="仿宋_GB2312" w:cs="仿宋"/>
          <w:kern w:val="0"/>
          <w:sz w:val="32"/>
          <w:szCs w:val="32"/>
        </w:rPr>
        <w:t>万元，执行数为</w:t>
      </w:r>
      <w:r>
        <w:rPr>
          <w:rFonts w:eastAsia="仿宋_GB2312"/>
          <w:kern w:val="0"/>
          <w:sz w:val="32"/>
          <w:szCs w:val="32"/>
        </w:rPr>
        <w:t>5.00</w:t>
      </w:r>
      <w:r>
        <w:rPr>
          <w:rFonts w:hint="eastAsia" w:ascii="仿宋_GB2312" w:hAnsi="仿宋" w:eastAsia="仿宋_GB2312" w:cs="仿宋"/>
          <w:kern w:val="0"/>
          <w:sz w:val="32"/>
          <w:szCs w:val="32"/>
        </w:rPr>
        <w:t>万元，完成预算的</w:t>
      </w:r>
      <w:r>
        <w:rPr>
          <w:rFonts w:eastAsia="仿宋_GB2312"/>
          <w:kern w:val="0"/>
          <w:sz w:val="32"/>
          <w:szCs w:val="32"/>
        </w:rPr>
        <w:t>100.00%</w:t>
      </w:r>
      <w:r>
        <w:rPr>
          <w:rFonts w:hint="eastAsia" w:ascii="仿宋_GB2312" w:hAnsi="仿宋" w:eastAsia="仿宋_GB2312" w:cs="仿宋"/>
          <w:kern w:val="0"/>
          <w:sz w:val="32"/>
          <w:szCs w:val="32"/>
        </w:rPr>
        <w:t>。项目绩效目标完成情况：</w:t>
      </w:r>
      <w:r>
        <w:rPr>
          <w:rFonts w:hint="eastAsia" w:ascii="仿宋_GB2312" w:hAnsi="仿宋_GB2312" w:eastAsia="仿宋_GB2312" w:cs="仿宋_GB2312"/>
          <w:sz w:val="32"/>
          <w:szCs w:val="32"/>
        </w:rPr>
        <w:t>有效提高森林公安整体办案业务水平，完成案件数量</w:t>
      </w:r>
      <w:r>
        <w:rPr>
          <w:rFonts w:eastAsia="仿宋_GB2312"/>
          <w:kern w:val="0"/>
          <w:sz w:val="32"/>
          <w:szCs w:val="32"/>
        </w:rPr>
        <w:t>5</w:t>
      </w:r>
      <w:r>
        <w:rPr>
          <w:rFonts w:hint="eastAsia" w:ascii="仿宋_GB2312" w:hAnsi="仿宋_GB2312" w:eastAsia="仿宋_GB2312" w:cs="仿宋_GB2312"/>
          <w:sz w:val="32"/>
          <w:szCs w:val="32"/>
        </w:rPr>
        <w:t>件，案件线索核查率及侦破率</w:t>
      </w:r>
      <w:r>
        <w:rPr>
          <w:rFonts w:eastAsia="仿宋_GB2312"/>
          <w:kern w:val="0"/>
          <w:sz w:val="32"/>
          <w:szCs w:val="32"/>
        </w:rPr>
        <w:t>100.00%</w:t>
      </w:r>
      <w:r>
        <w:rPr>
          <w:rFonts w:hint="eastAsia" w:ascii="仿宋_GB2312" w:hAnsi="仿宋_GB2312" w:eastAsia="仿宋_GB2312" w:cs="仿宋_GB2312"/>
          <w:sz w:val="32"/>
          <w:szCs w:val="32"/>
        </w:rPr>
        <w:t>有效提高民警工作效率，有效提高民警满意度。</w:t>
      </w:r>
    </w:p>
    <w:p w14:paraId="52AF08F9">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 w:eastAsia="仿宋_GB2312" w:cs="仿宋"/>
          <w:kern w:val="0"/>
          <w:sz w:val="32"/>
          <w:szCs w:val="32"/>
        </w:rPr>
      </w:pPr>
      <w:r>
        <w:rPr>
          <w:rFonts w:eastAsia="仿宋_GB2312"/>
          <w:kern w:val="0"/>
          <w:sz w:val="32"/>
          <w:szCs w:val="32"/>
        </w:rPr>
        <w:t>2.</w:t>
      </w:r>
      <w:r>
        <w:rPr>
          <w:rFonts w:hint="eastAsia" w:ascii="仿宋_GB2312" w:hAnsi="仿宋_GB2312" w:eastAsia="仿宋_GB2312" w:cs="仿宋_GB2312"/>
          <w:kern w:val="0"/>
          <w:sz w:val="32"/>
          <w:szCs w:val="32"/>
        </w:rPr>
        <w:t>公安专用装备购置与设施购建</w:t>
      </w:r>
      <w:r>
        <w:rPr>
          <w:rFonts w:hint="eastAsia" w:ascii="仿宋_GB2312" w:hAnsi="仿宋" w:eastAsia="仿宋_GB2312" w:cs="仿宋"/>
          <w:kern w:val="0"/>
          <w:sz w:val="32"/>
          <w:szCs w:val="32"/>
        </w:rPr>
        <w:t>项目自评综述：根据年初设定的绩效目标，项目自评得分</w:t>
      </w:r>
      <w:r>
        <w:rPr>
          <w:rFonts w:eastAsia="仿宋_GB2312"/>
          <w:kern w:val="0"/>
          <w:sz w:val="32"/>
          <w:szCs w:val="32"/>
        </w:rPr>
        <w:t>100.00</w:t>
      </w:r>
      <w:r>
        <w:rPr>
          <w:rFonts w:hint="eastAsia" w:ascii="仿宋_GB2312" w:hAnsi="仿宋" w:eastAsia="仿宋_GB2312" w:cs="仿宋"/>
          <w:kern w:val="0"/>
          <w:sz w:val="32"/>
          <w:szCs w:val="32"/>
        </w:rPr>
        <w:t>分。全年预算数为</w:t>
      </w:r>
      <w:r>
        <w:rPr>
          <w:rFonts w:eastAsia="仿宋_GB2312"/>
          <w:kern w:val="0"/>
          <w:sz w:val="32"/>
          <w:szCs w:val="32"/>
        </w:rPr>
        <w:t>14.00</w:t>
      </w:r>
      <w:r>
        <w:rPr>
          <w:rFonts w:hint="eastAsia" w:ascii="仿宋_GB2312" w:hAnsi="仿宋" w:eastAsia="仿宋_GB2312" w:cs="仿宋"/>
          <w:kern w:val="0"/>
          <w:sz w:val="32"/>
          <w:szCs w:val="32"/>
        </w:rPr>
        <w:t>万元，执行数为</w:t>
      </w:r>
      <w:r>
        <w:rPr>
          <w:rFonts w:eastAsia="仿宋_GB2312"/>
          <w:kern w:val="0"/>
          <w:sz w:val="32"/>
          <w:szCs w:val="32"/>
        </w:rPr>
        <w:t>14.00</w:t>
      </w:r>
      <w:r>
        <w:rPr>
          <w:rFonts w:hint="eastAsia" w:ascii="仿宋_GB2312" w:hAnsi="仿宋" w:eastAsia="仿宋_GB2312" w:cs="仿宋"/>
          <w:kern w:val="0"/>
          <w:sz w:val="32"/>
          <w:szCs w:val="32"/>
        </w:rPr>
        <w:t>万元，完成预算的</w:t>
      </w:r>
      <w:r>
        <w:rPr>
          <w:rFonts w:eastAsia="仿宋_GB2312"/>
          <w:kern w:val="0"/>
          <w:sz w:val="32"/>
          <w:szCs w:val="32"/>
        </w:rPr>
        <w:t>100%</w:t>
      </w:r>
      <w:r>
        <w:rPr>
          <w:rFonts w:hint="eastAsia" w:ascii="仿宋_GB2312" w:hAnsi="仿宋" w:eastAsia="仿宋_GB2312" w:cs="仿宋"/>
          <w:kern w:val="0"/>
          <w:sz w:val="32"/>
          <w:szCs w:val="32"/>
        </w:rPr>
        <w:t>。项目绩效目标完成情况：有效提升森林公安警务工作能力，刑事技术装备购置</w:t>
      </w:r>
      <w:r>
        <w:rPr>
          <w:rFonts w:hint="eastAsia" w:eastAsia="仿宋_GB2312"/>
          <w:kern w:val="0"/>
          <w:sz w:val="32"/>
          <w:szCs w:val="32"/>
        </w:rPr>
        <w:t>3</w:t>
      </w:r>
      <w:r>
        <w:rPr>
          <w:rFonts w:hint="eastAsia" w:ascii="仿宋_GB2312" w:hAnsi="仿宋" w:eastAsia="仿宋_GB2312" w:cs="仿宋"/>
          <w:kern w:val="0"/>
          <w:sz w:val="32"/>
          <w:szCs w:val="32"/>
        </w:rPr>
        <w:t>个，执法勤务装备购置</w:t>
      </w:r>
      <w:r>
        <w:rPr>
          <w:rFonts w:eastAsia="仿宋_GB2312"/>
          <w:kern w:val="0"/>
          <w:sz w:val="32"/>
          <w:szCs w:val="32"/>
        </w:rPr>
        <w:t>1</w:t>
      </w:r>
      <w:r>
        <w:rPr>
          <w:rFonts w:hint="eastAsia" w:eastAsia="仿宋_GB2312"/>
          <w:kern w:val="0"/>
          <w:sz w:val="32"/>
          <w:szCs w:val="32"/>
        </w:rPr>
        <w:t>8</w:t>
      </w:r>
      <w:r>
        <w:rPr>
          <w:rFonts w:hint="eastAsia" w:ascii="仿宋_GB2312" w:hAnsi="仿宋" w:eastAsia="仿宋_GB2312" w:cs="仿宋"/>
          <w:kern w:val="0"/>
          <w:sz w:val="32"/>
          <w:szCs w:val="32"/>
        </w:rPr>
        <w:t>个，刑侦技术装备验收合格率及执法勤务装备验收合格率</w:t>
      </w:r>
      <w:r>
        <w:rPr>
          <w:rFonts w:eastAsia="仿宋_GB2312"/>
          <w:kern w:val="0"/>
          <w:sz w:val="32"/>
          <w:szCs w:val="32"/>
        </w:rPr>
        <w:t>100%</w:t>
      </w:r>
      <w:r>
        <w:rPr>
          <w:rFonts w:hint="eastAsia" w:ascii="仿宋_GB2312" w:hAnsi="仿宋" w:eastAsia="仿宋_GB2312" w:cs="仿宋"/>
          <w:kern w:val="0"/>
          <w:sz w:val="32"/>
          <w:szCs w:val="32"/>
        </w:rPr>
        <w:t>，有效提高民警工作效率，装备使用人员满意度</w:t>
      </w:r>
      <w:r>
        <w:rPr>
          <w:rFonts w:eastAsia="仿宋_GB2312"/>
          <w:kern w:val="0"/>
          <w:sz w:val="32"/>
          <w:szCs w:val="32"/>
        </w:rPr>
        <w:t>100%</w:t>
      </w:r>
      <w:r>
        <w:rPr>
          <w:rFonts w:hint="eastAsia" w:ascii="仿宋_GB2312" w:hAnsi="仿宋" w:eastAsia="仿宋_GB2312" w:cs="仿宋"/>
          <w:kern w:val="0"/>
          <w:sz w:val="32"/>
          <w:szCs w:val="32"/>
        </w:rPr>
        <w:t>。发现的主要问题及原因：无。</w:t>
      </w:r>
    </w:p>
    <w:p w14:paraId="7C4D404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rPr>
          <w:rFonts w:hint="eastAsia" w:ascii="仿宋_GB2312" w:hAnsi="仿宋_GB2312" w:eastAsia="仿宋_GB2312" w:cs="仿宋_GB2312"/>
          <w:sz w:val="32"/>
          <w:szCs w:val="32"/>
        </w:rPr>
      </w:pPr>
    </w:p>
    <w:tbl>
      <w:tblPr>
        <w:tblStyle w:val="19"/>
        <w:tblW w:w="5000" w:type="pct"/>
        <w:tblInd w:w="0" w:type="dxa"/>
        <w:tblLayout w:type="autofit"/>
        <w:tblCellMar>
          <w:top w:w="0" w:type="dxa"/>
          <w:left w:w="108" w:type="dxa"/>
          <w:bottom w:w="0" w:type="dxa"/>
          <w:right w:w="108" w:type="dxa"/>
        </w:tblCellMar>
      </w:tblPr>
      <w:tblGrid>
        <w:gridCol w:w="439"/>
        <w:gridCol w:w="300"/>
        <w:gridCol w:w="157"/>
        <w:gridCol w:w="584"/>
        <w:gridCol w:w="225"/>
        <w:gridCol w:w="514"/>
        <w:gridCol w:w="324"/>
        <w:gridCol w:w="359"/>
        <w:gridCol w:w="146"/>
        <w:gridCol w:w="508"/>
        <w:gridCol w:w="31"/>
        <w:gridCol w:w="688"/>
        <w:gridCol w:w="65"/>
        <w:gridCol w:w="620"/>
        <w:gridCol w:w="257"/>
        <w:gridCol w:w="426"/>
        <w:gridCol w:w="349"/>
        <w:gridCol w:w="346"/>
        <w:gridCol w:w="240"/>
        <w:gridCol w:w="443"/>
        <w:gridCol w:w="429"/>
        <w:gridCol w:w="327"/>
        <w:gridCol w:w="739"/>
      </w:tblGrid>
      <w:tr w14:paraId="76B33FDE">
        <w:tblPrEx>
          <w:tblCellMar>
            <w:top w:w="0" w:type="dxa"/>
            <w:left w:w="108" w:type="dxa"/>
            <w:bottom w:w="0" w:type="dxa"/>
            <w:right w:w="108" w:type="dxa"/>
          </w:tblCellMar>
        </w:tblPrEx>
        <w:trPr>
          <w:trHeight w:val="960" w:hRule="atLeast"/>
        </w:trPr>
        <w:tc>
          <w:tcPr>
            <w:tcW w:w="5000" w:type="pct"/>
            <w:gridSpan w:val="23"/>
            <w:tcBorders>
              <w:top w:val="single" w:color="000000" w:sz="4" w:space="0"/>
              <w:left w:val="single" w:color="000000" w:sz="4" w:space="0"/>
              <w:bottom w:val="single" w:color="000000" w:sz="4" w:space="0"/>
              <w:right w:val="single" w:color="000000" w:sz="4" w:space="0"/>
            </w:tcBorders>
            <w:shd w:val="clear" w:color="auto" w:fill="auto"/>
            <w:vAlign w:val="center"/>
          </w:tcPr>
          <w:p w14:paraId="4302D392">
            <w:pPr>
              <w:widowControl/>
              <w:jc w:val="center"/>
              <w:textAlignment w:val="center"/>
              <w:rPr>
                <w:rFonts w:ascii="宋体" w:hAnsi="宋体" w:cs="宋体"/>
                <w:b/>
                <w:bCs/>
                <w:color w:val="000000"/>
                <w:sz w:val="40"/>
                <w:szCs w:val="40"/>
              </w:rPr>
            </w:pPr>
            <w:r>
              <w:rPr>
                <w:rFonts w:hint="eastAsia" w:ascii="宋体" w:hAnsi="宋体" w:cs="宋体"/>
                <w:b/>
                <w:bCs/>
                <w:color w:val="000000"/>
                <w:kern w:val="0"/>
                <w:sz w:val="40"/>
                <w:szCs w:val="40"/>
              </w:rPr>
              <w:t>项目支出绩效自评表</w:t>
            </w:r>
            <w:r>
              <w:rPr>
                <w:rFonts w:hint="eastAsia" w:ascii="宋体" w:hAnsi="宋体" w:cs="宋体"/>
                <w:b/>
                <w:bCs/>
                <w:color w:val="000000"/>
                <w:kern w:val="0"/>
                <w:sz w:val="40"/>
                <w:szCs w:val="40"/>
              </w:rPr>
              <w:br w:type="textWrapping"/>
            </w:r>
            <w:r>
              <w:rPr>
                <w:rFonts w:hint="eastAsia" w:ascii="宋体" w:hAnsi="宋体" w:cs="宋体"/>
                <w:b/>
                <w:bCs/>
                <w:color w:val="000000"/>
                <w:kern w:val="0"/>
                <w:sz w:val="40"/>
                <w:szCs w:val="40"/>
                <w:lang w:eastAsia="zh-CN"/>
              </w:rPr>
              <w:t>（</w:t>
            </w:r>
            <w:r>
              <w:rPr>
                <w:rFonts w:hint="eastAsia" w:ascii="宋体" w:hAnsi="宋体" w:cs="宋体"/>
                <w:b/>
                <w:bCs/>
                <w:color w:val="000000"/>
                <w:kern w:val="0"/>
                <w:sz w:val="40"/>
                <w:szCs w:val="40"/>
              </w:rPr>
              <w:t>2025年度）</w:t>
            </w:r>
          </w:p>
        </w:tc>
      </w:tr>
      <w:tr w14:paraId="40C42C53">
        <w:tblPrEx>
          <w:tblCellMar>
            <w:top w:w="0" w:type="dxa"/>
            <w:left w:w="108" w:type="dxa"/>
            <w:bottom w:w="0" w:type="dxa"/>
            <w:right w:w="108" w:type="dxa"/>
          </w:tblCellMar>
        </w:tblPrEx>
        <w:trPr>
          <w:trHeight w:val="380" w:hRule="atLeast"/>
        </w:trPr>
        <w:tc>
          <w:tcPr>
            <w:tcW w:w="8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20906D">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4130"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111977B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办案（业务）经费</w:t>
            </w:r>
          </w:p>
        </w:tc>
      </w:tr>
      <w:tr w14:paraId="77CFF819">
        <w:tblPrEx>
          <w:tblCellMar>
            <w:top w:w="0" w:type="dxa"/>
            <w:left w:w="108" w:type="dxa"/>
            <w:bottom w:w="0" w:type="dxa"/>
            <w:right w:w="108" w:type="dxa"/>
          </w:tblCellMar>
        </w:tblPrEx>
        <w:trPr>
          <w:trHeight w:val="380" w:hRule="atLeast"/>
        </w:trPr>
        <w:tc>
          <w:tcPr>
            <w:tcW w:w="8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F7A5B1">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164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82375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内蒙古自治区公安厅部门</w:t>
            </w: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C1A49A">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16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8B86B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内蒙古大兴安岭森林公安局吉文分局</w:t>
            </w:r>
          </w:p>
        </w:tc>
      </w:tr>
      <w:tr w14:paraId="349DDA4B">
        <w:tblPrEx>
          <w:tblCellMar>
            <w:top w:w="0" w:type="dxa"/>
            <w:left w:w="108" w:type="dxa"/>
            <w:bottom w:w="0" w:type="dxa"/>
            <w:right w:w="108" w:type="dxa"/>
          </w:tblCellMar>
        </w:tblPrEx>
        <w:trPr>
          <w:trHeight w:val="380" w:hRule="atLeast"/>
        </w:trPr>
        <w:tc>
          <w:tcPr>
            <w:tcW w:w="869"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3E5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C7907">
            <w:pPr>
              <w:rPr>
                <w:rFonts w:ascii="宋体" w:hAnsi="宋体" w:cs="宋体"/>
                <w:color w:val="000000"/>
                <w:sz w:val="18"/>
                <w:szCs w:val="18"/>
              </w:rPr>
            </w:pP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AA48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年初预算数</w:t>
            </w:r>
          </w:p>
        </w:tc>
        <w:tc>
          <w:tcPr>
            <w:tcW w:w="8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FD6D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036E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064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8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F3F2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C1F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05C86207">
        <w:tblPrEx>
          <w:tblCellMar>
            <w:top w:w="0" w:type="dxa"/>
            <w:left w:w="108" w:type="dxa"/>
            <w:bottom w:w="0" w:type="dxa"/>
            <w:right w:w="108" w:type="dxa"/>
          </w:tblCellMar>
        </w:tblPrEx>
        <w:trPr>
          <w:trHeight w:val="380" w:hRule="atLeast"/>
        </w:trPr>
        <w:tc>
          <w:tcPr>
            <w:tcW w:w="869"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3515B">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194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2F4F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8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8302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1E77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161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6D83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2F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120D4EA0">
        <w:tblPrEx>
          <w:tblCellMar>
            <w:top w:w="0" w:type="dxa"/>
            <w:left w:w="108" w:type="dxa"/>
            <w:bottom w:w="0" w:type="dxa"/>
            <w:right w:w="108" w:type="dxa"/>
          </w:tblCellMar>
        </w:tblPrEx>
        <w:trPr>
          <w:trHeight w:val="380" w:hRule="atLeast"/>
        </w:trPr>
        <w:tc>
          <w:tcPr>
            <w:tcW w:w="869"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5BC6C">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539C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5E4D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8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F558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8295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9757B">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c>
          <w:tcPr>
            <w:tcW w:w="8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3C74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8C3C">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r>
      <w:tr w14:paraId="017922FA">
        <w:tblPrEx>
          <w:tblCellMar>
            <w:top w:w="0" w:type="dxa"/>
            <w:left w:w="108" w:type="dxa"/>
            <w:bottom w:w="0" w:type="dxa"/>
            <w:right w:w="108" w:type="dxa"/>
          </w:tblCellMar>
        </w:tblPrEx>
        <w:trPr>
          <w:trHeight w:val="380" w:hRule="atLeast"/>
        </w:trPr>
        <w:tc>
          <w:tcPr>
            <w:tcW w:w="869"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D3C19">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719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上年结转资金</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DFEA6">
            <w:pPr>
              <w:rPr>
                <w:rFonts w:ascii="宋体" w:hAnsi="宋体" w:cs="宋体"/>
                <w:color w:val="000000"/>
                <w:sz w:val="18"/>
                <w:szCs w:val="18"/>
              </w:rPr>
            </w:pPr>
          </w:p>
        </w:tc>
        <w:tc>
          <w:tcPr>
            <w:tcW w:w="8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9658F5">
            <w:pPr>
              <w:jc w:val="center"/>
              <w:rPr>
                <w:rFonts w:ascii="宋体" w:hAnsi="宋体" w:cs="宋体"/>
                <w:color w:val="000000"/>
                <w:sz w:val="18"/>
                <w:szCs w:val="18"/>
              </w:rPr>
            </w:pP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E11270">
            <w:pPr>
              <w:jc w:val="center"/>
              <w:rPr>
                <w:rFonts w:ascii="宋体" w:hAnsi="宋体" w:cs="宋体"/>
                <w:color w:val="000000"/>
                <w:sz w:val="18"/>
                <w:szCs w:val="18"/>
              </w:rPr>
            </w:pP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D98AB">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c>
          <w:tcPr>
            <w:tcW w:w="8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73983D">
            <w:pPr>
              <w:jc w:val="center"/>
              <w:rPr>
                <w:rFonts w:ascii="宋体" w:hAnsi="宋体" w:cs="宋体"/>
                <w:color w:val="000000"/>
                <w:sz w:val="18"/>
                <w:szCs w:val="18"/>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850F8">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r>
      <w:tr w14:paraId="1443DEAB">
        <w:tblPrEx>
          <w:tblCellMar>
            <w:top w:w="0" w:type="dxa"/>
            <w:left w:w="108" w:type="dxa"/>
            <w:bottom w:w="0" w:type="dxa"/>
            <w:right w:w="108" w:type="dxa"/>
          </w:tblCellMar>
        </w:tblPrEx>
        <w:trPr>
          <w:trHeight w:val="380" w:hRule="atLeast"/>
        </w:trPr>
        <w:tc>
          <w:tcPr>
            <w:tcW w:w="869"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A45E8">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490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0F0A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80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AD43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80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D722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DA0D3">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c>
          <w:tcPr>
            <w:tcW w:w="8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4AF9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F051">
            <w:pPr>
              <w:widowControl/>
              <w:jc w:val="center"/>
              <w:textAlignment w:val="center"/>
              <w:rPr>
                <w:rFonts w:ascii="Arial" w:hAnsi="Arial" w:cs="Arial"/>
                <w:color w:val="222222"/>
                <w:sz w:val="20"/>
                <w:szCs w:val="20"/>
              </w:rPr>
            </w:pPr>
            <w:r>
              <w:rPr>
                <w:rFonts w:ascii="Arial" w:hAnsi="Arial" w:cs="Arial"/>
                <w:color w:val="222222"/>
                <w:kern w:val="0"/>
                <w:sz w:val="20"/>
                <w:szCs w:val="20"/>
              </w:rPr>
              <w:t>——</w:t>
            </w:r>
          </w:p>
        </w:tc>
      </w:tr>
      <w:tr w14:paraId="41D632E6">
        <w:tblPrEx>
          <w:tblCellMar>
            <w:top w:w="0" w:type="dxa"/>
            <w:left w:w="108" w:type="dxa"/>
            <w:bottom w:w="0" w:type="dxa"/>
            <w:right w:w="108" w:type="dxa"/>
          </w:tblCellMar>
        </w:tblPrEx>
        <w:trPr>
          <w:trHeight w:val="380" w:hRule="atLeast"/>
        </w:trPr>
        <w:tc>
          <w:tcPr>
            <w:tcW w:w="869"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EE7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204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2A883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208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A38D5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09516165">
        <w:tblPrEx>
          <w:tblCellMar>
            <w:top w:w="0" w:type="dxa"/>
            <w:left w:w="108" w:type="dxa"/>
            <w:bottom w:w="0" w:type="dxa"/>
            <w:right w:w="108" w:type="dxa"/>
          </w:tblCellMar>
        </w:tblPrEx>
        <w:trPr>
          <w:trHeight w:val="1690" w:hRule="atLeast"/>
        </w:trPr>
        <w:tc>
          <w:tcPr>
            <w:tcW w:w="869"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AAADE">
            <w:pPr>
              <w:jc w:val="center"/>
              <w:rPr>
                <w:rFonts w:ascii="宋体" w:hAnsi="宋体" w:cs="宋体"/>
                <w:color w:val="000000"/>
                <w:sz w:val="18"/>
                <w:szCs w:val="18"/>
              </w:rPr>
            </w:pPr>
          </w:p>
        </w:tc>
        <w:tc>
          <w:tcPr>
            <w:tcW w:w="204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6C20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通过项目的实施，履行法定责任，保障办案业务工作的正常开展，提高办案能力，保证人民群众生命财产安全，提高为社会公众服务的能力， 为野生动物救治及植被恢复提供保障，持续提升警务工作水平，提高服务对象</w:t>
            </w:r>
            <w:r>
              <w:rPr>
                <w:rFonts w:hint="eastAsia" w:ascii="宋体" w:hAnsi="宋体" w:cs="宋体"/>
                <w:color w:val="000000"/>
                <w:kern w:val="0"/>
                <w:sz w:val="18"/>
                <w:szCs w:val="18"/>
                <w:lang w:val="en-US" w:eastAsia="zh-CN"/>
              </w:rPr>
              <w:t>满</w:t>
            </w:r>
            <w:r>
              <w:rPr>
                <w:rFonts w:hint="eastAsia" w:ascii="宋体" w:hAnsi="宋体" w:cs="宋体"/>
                <w:color w:val="000000"/>
                <w:kern w:val="0"/>
                <w:sz w:val="18"/>
                <w:szCs w:val="18"/>
              </w:rPr>
              <w:t>意度。</w:t>
            </w:r>
          </w:p>
        </w:tc>
        <w:tc>
          <w:tcPr>
            <w:tcW w:w="208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D9EA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有效提高森林公安整体办案业务水平，完成案件数量</w:t>
            </w:r>
            <w:r>
              <w:rPr>
                <w:rFonts w:ascii="宋体" w:hAnsi="宋体" w:cs="宋体"/>
                <w:color w:val="000000"/>
                <w:kern w:val="0"/>
                <w:sz w:val="18"/>
                <w:szCs w:val="18"/>
              </w:rPr>
              <w:t>5</w:t>
            </w:r>
            <w:r>
              <w:rPr>
                <w:rFonts w:hint="eastAsia" w:ascii="宋体" w:hAnsi="宋体" w:cs="宋体"/>
                <w:color w:val="000000"/>
                <w:kern w:val="0"/>
                <w:sz w:val="18"/>
                <w:szCs w:val="18"/>
              </w:rPr>
              <w:t>件，案件线索核查率及侦破率</w:t>
            </w:r>
            <w:r>
              <w:rPr>
                <w:rFonts w:ascii="宋体" w:hAnsi="宋体" w:cs="宋体"/>
                <w:color w:val="000000"/>
                <w:kern w:val="0"/>
                <w:sz w:val="18"/>
                <w:szCs w:val="18"/>
              </w:rPr>
              <w:t>100.00%</w:t>
            </w:r>
            <w:r>
              <w:rPr>
                <w:rFonts w:hint="eastAsia" w:ascii="宋体" w:hAnsi="宋体" w:cs="宋体"/>
                <w:color w:val="000000"/>
                <w:kern w:val="0"/>
                <w:sz w:val="18"/>
                <w:szCs w:val="18"/>
              </w:rPr>
              <w:t>有效提高民警工作效率，有效提高民警满意度。</w:t>
            </w:r>
          </w:p>
        </w:tc>
      </w:tr>
      <w:tr w14:paraId="0718B0A8">
        <w:tblPrEx>
          <w:tblCellMar>
            <w:top w:w="0" w:type="dxa"/>
            <w:left w:w="108" w:type="dxa"/>
            <w:bottom w:w="0" w:type="dxa"/>
            <w:right w:w="108" w:type="dxa"/>
          </w:tblCellMar>
        </w:tblPrEx>
        <w:trPr>
          <w:trHeight w:val="380" w:hRule="atLeast"/>
        </w:trPr>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7B2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w:t>
            </w: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434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4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79F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20B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2B1C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指标性质</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DB1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指标方向</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F1E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A69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0DC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计量单位</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1C2A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4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DA0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21B5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501A6F07">
        <w:tblPrEx>
          <w:tblCellMar>
            <w:top w:w="0" w:type="dxa"/>
            <w:left w:w="108" w:type="dxa"/>
            <w:bottom w:w="0" w:type="dxa"/>
            <w:right w:w="108" w:type="dxa"/>
          </w:tblCellMar>
        </w:tblPrEx>
        <w:trPr>
          <w:trHeight w:val="840" w:hRule="atLeast"/>
        </w:trPr>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324732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w:t>
            </w: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61E3BB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13CE736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93BC4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受理案件数量</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444762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41D32A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1CA5E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6A1D0A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6DEE97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件</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69CDB8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4FAF03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041172B">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因耕地保护红线和永久基本农田变更，导致我单位2025年案件数量增多。</w:t>
            </w:r>
          </w:p>
        </w:tc>
      </w:tr>
      <w:tr w14:paraId="27486C63">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5737236F">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F769542">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18EC62A9">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46838E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办案差旅次数</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75A95E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20764E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2DDF2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B1C6F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065E24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次</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C1162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7FDEAE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9CD5473">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由于当地自然原因，森林案件高发，全年办案差旅次数增多。</w:t>
            </w:r>
          </w:p>
        </w:tc>
      </w:tr>
      <w:tr w14:paraId="0F4ABA8D">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E55F51A">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BF3FCAC">
            <w:pPr>
              <w:jc w:val="center"/>
              <w:rPr>
                <w:rFonts w:ascii="宋体" w:hAnsi="宋体" w:cs="宋体"/>
                <w:color w:val="000000"/>
                <w:sz w:val="18"/>
                <w:szCs w:val="18"/>
              </w:rPr>
            </w:pP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2FE39A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698B32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案件侦破率</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3EC7C4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66578F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19934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3E2EF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0A5008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27588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74AF9C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AE4BE54">
            <w:pPr>
              <w:jc w:val="center"/>
              <w:rPr>
                <w:rFonts w:ascii="宋体" w:hAnsi="宋体" w:cs="宋体"/>
                <w:color w:val="000000"/>
                <w:sz w:val="18"/>
                <w:szCs w:val="18"/>
              </w:rPr>
            </w:pPr>
          </w:p>
        </w:tc>
      </w:tr>
      <w:tr w14:paraId="559433F2">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A5FE0F8">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16B0AA4">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06332515">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A989A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线索核查率</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52D612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18512B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50E2F7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4A7652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7AA5A6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91664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3C8D85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AA33E6A">
            <w:pPr>
              <w:jc w:val="center"/>
              <w:rPr>
                <w:rFonts w:ascii="宋体" w:hAnsi="宋体" w:cs="宋体"/>
                <w:color w:val="000000"/>
                <w:sz w:val="18"/>
                <w:szCs w:val="18"/>
              </w:rPr>
            </w:pPr>
          </w:p>
        </w:tc>
      </w:tr>
      <w:tr w14:paraId="667E1AC8">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8085DFA">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5C8BEFB4">
            <w:pPr>
              <w:jc w:val="center"/>
              <w:rPr>
                <w:rFonts w:ascii="宋体" w:hAnsi="宋体" w:cs="宋体"/>
                <w:color w:val="000000"/>
                <w:sz w:val="18"/>
                <w:szCs w:val="18"/>
              </w:rPr>
            </w:pP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7F21FC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3378A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案件侦破工作完成时间</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0BC6D8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18F6A7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4C90DC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570B15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48313F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64BD0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1E8CD1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06826C43">
            <w:pPr>
              <w:jc w:val="center"/>
              <w:rPr>
                <w:rFonts w:ascii="宋体" w:hAnsi="宋体" w:cs="宋体"/>
                <w:color w:val="000000"/>
                <w:sz w:val="18"/>
                <w:szCs w:val="18"/>
              </w:rPr>
            </w:pPr>
          </w:p>
        </w:tc>
      </w:tr>
      <w:tr w14:paraId="068D4816">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0A33AA65">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5478D8D0">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15BC286B">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A8BE0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案件立案时间</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2148BE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2E7C0B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88501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7D0F4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0B9216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66E76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7E27C0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A86259F">
            <w:pPr>
              <w:jc w:val="center"/>
              <w:rPr>
                <w:rFonts w:ascii="宋体" w:hAnsi="宋体" w:cs="宋体"/>
                <w:color w:val="000000"/>
                <w:sz w:val="18"/>
                <w:szCs w:val="18"/>
              </w:rPr>
            </w:pPr>
          </w:p>
        </w:tc>
      </w:tr>
      <w:tr w14:paraId="5FC4133E">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68F8D63">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195020E">
            <w:pPr>
              <w:jc w:val="center"/>
              <w:rPr>
                <w:rFonts w:ascii="宋体" w:hAnsi="宋体" w:cs="宋体"/>
                <w:color w:val="000000"/>
                <w:sz w:val="18"/>
                <w:szCs w:val="18"/>
              </w:rPr>
            </w:pP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6DA4C3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08E048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案件侦办</w:t>
            </w:r>
            <w:r>
              <w:rPr>
                <w:rFonts w:hint="eastAsia" w:ascii="宋体" w:hAnsi="宋体" w:cs="宋体"/>
                <w:color w:val="000000"/>
                <w:kern w:val="0"/>
                <w:sz w:val="18"/>
                <w:szCs w:val="18"/>
                <w:lang w:val="en-US" w:eastAsia="zh-CN"/>
              </w:rPr>
              <w:t>支出</w:t>
            </w:r>
            <w:r>
              <w:rPr>
                <w:rFonts w:hint="eastAsia" w:ascii="宋体" w:hAnsi="宋体" w:cs="宋体"/>
                <w:color w:val="000000"/>
                <w:kern w:val="0"/>
                <w:sz w:val="18"/>
                <w:szCs w:val="18"/>
              </w:rPr>
              <w:t>成本</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3B7C5F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24024D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4D99A9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56830E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5B358F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EF9C3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22D02D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E26090A">
            <w:pPr>
              <w:jc w:val="center"/>
              <w:rPr>
                <w:rFonts w:ascii="宋体" w:hAnsi="宋体" w:cs="宋体"/>
                <w:color w:val="000000"/>
                <w:sz w:val="18"/>
                <w:szCs w:val="18"/>
              </w:rPr>
            </w:pPr>
          </w:p>
        </w:tc>
      </w:tr>
      <w:tr w14:paraId="61B6D7BA">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E4130A3">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7251EA9">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4FABCDA">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67491A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差旅</w:t>
            </w:r>
            <w:r>
              <w:rPr>
                <w:rFonts w:hint="eastAsia" w:ascii="宋体" w:hAnsi="宋体" w:cs="宋体"/>
                <w:color w:val="000000"/>
                <w:kern w:val="0"/>
                <w:sz w:val="18"/>
                <w:szCs w:val="18"/>
                <w:lang w:val="en-US" w:eastAsia="zh-CN"/>
              </w:rPr>
              <w:t>费支出</w:t>
            </w:r>
            <w:r>
              <w:rPr>
                <w:rFonts w:hint="eastAsia" w:ascii="宋体" w:hAnsi="宋体" w:cs="宋体"/>
                <w:color w:val="000000"/>
                <w:kern w:val="0"/>
                <w:sz w:val="18"/>
                <w:szCs w:val="18"/>
              </w:rPr>
              <w:t>成本</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584FE7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274FA0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57D31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DF14F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191158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741BE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130928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731CB65">
            <w:pPr>
              <w:jc w:val="center"/>
              <w:rPr>
                <w:rFonts w:ascii="宋体" w:hAnsi="宋体" w:cs="宋体"/>
                <w:color w:val="000000"/>
                <w:sz w:val="18"/>
                <w:szCs w:val="18"/>
              </w:rPr>
            </w:pPr>
          </w:p>
        </w:tc>
      </w:tr>
      <w:tr w14:paraId="5A29300F">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F9DE72C">
            <w:pPr>
              <w:jc w:val="center"/>
              <w:rPr>
                <w:rFonts w:ascii="宋体" w:hAnsi="宋体" w:cs="宋体"/>
                <w:color w:val="000000"/>
                <w:sz w:val="18"/>
                <w:szCs w:val="18"/>
              </w:rPr>
            </w:pPr>
          </w:p>
        </w:tc>
        <w:tc>
          <w:tcPr>
            <w:tcW w:w="434"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1061B7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434" w:type="pct"/>
            <w:gridSpan w:val="2"/>
            <w:tcBorders>
              <w:top w:val="single" w:color="000000" w:sz="4" w:space="0"/>
              <w:left w:val="single" w:color="000000" w:sz="4" w:space="0"/>
              <w:bottom w:val="nil"/>
              <w:right w:val="single" w:color="000000" w:sz="4" w:space="0"/>
            </w:tcBorders>
            <w:shd w:val="clear" w:color="auto" w:fill="auto"/>
            <w:vAlign w:val="center"/>
          </w:tcPr>
          <w:p w14:paraId="3292FA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0DC90E2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提高民警工作效率</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77FB02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55FAE4C4">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6369D1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03744F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7F32DE6C">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7E07E6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0407B1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971AB03">
            <w:pPr>
              <w:jc w:val="center"/>
              <w:rPr>
                <w:rFonts w:ascii="宋体" w:hAnsi="宋体" w:cs="宋体"/>
                <w:color w:val="000000"/>
                <w:sz w:val="18"/>
                <w:szCs w:val="18"/>
              </w:rPr>
            </w:pPr>
          </w:p>
        </w:tc>
      </w:tr>
      <w:tr w14:paraId="53C96543">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7687B4DC">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1743998C">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nil"/>
              <w:right w:val="single" w:color="000000" w:sz="4" w:space="0"/>
            </w:tcBorders>
            <w:shd w:val="clear" w:color="auto" w:fill="auto"/>
            <w:vAlign w:val="center"/>
          </w:tcPr>
          <w:p w14:paraId="69FB90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7021E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为野生动物救治及植被恢复提供保障</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517E6D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526BC942">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E21EC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ECF14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4F67A77C">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06D738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7D10D4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C34A1B0">
            <w:pPr>
              <w:jc w:val="center"/>
              <w:rPr>
                <w:rFonts w:ascii="宋体" w:hAnsi="宋体" w:cs="宋体"/>
                <w:color w:val="000000"/>
                <w:sz w:val="18"/>
                <w:szCs w:val="18"/>
              </w:rPr>
            </w:pPr>
          </w:p>
        </w:tc>
      </w:tr>
      <w:tr w14:paraId="011AC748">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21E61631">
            <w:pPr>
              <w:jc w:val="center"/>
              <w:rPr>
                <w:rFonts w:ascii="宋体" w:hAnsi="宋体" w:cs="宋体"/>
                <w:color w:val="000000"/>
                <w:sz w:val="18"/>
                <w:szCs w:val="18"/>
              </w:rPr>
            </w:pPr>
          </w:p>
        </w:tc>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416A9A91">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nil"/>
              <w:right w:val="single" w:color="000000" w:sz="4" w:space="0"/>
            </w:tcBorders>
            <w:shd w:val="clear" w:color="auto" w:fill="auto"/>
            <w:vAlign w:val="center"/>
          </w:tcPr>
          <w:p w14:paraId="0B2BF6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5E4B51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持续提高警务工作水平</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142BD0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53CD2365">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1EBDD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01E8B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持续提升</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6EBEB960">
            <w:pPr>
              <w:jc w:val="center"/>
              <w:rPr>
                <w:rFonts w:ascii="宋体" w:hAnsi="宋体" w:cs="宋体"/>
                <w:color w:val="000000"/>
                <w:sz w:val="18"/>
                <w:szCs w:val="18"/>
              </w:rPr>
            </w:pP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13D0544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09654C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611EA13">
            <w:pPr>
              <w:jc w:val="center"/>
              <w:rPr>
                <w:rFonts w:ascii="宋体" w:hAnsi="宋体" w:cs="宋体"/>
                <w:color w:val="000000"/>
                <w:sz w:val="18"/>
                <w:szCs w:val="18"/>
              </w:rPr>
            </w:pPr>
          </w:p>
        </w:tc>
      </w:tr>
      <w:tr w14:paraId="5AD49235">
        <w:tblPrEx>
          <w:tblCellMar>
            <w:top w:w="0" w:type="dxa"/>
            <w:left w:w="108" w:type="dxa"/>
            <w:bottom w:w="0" w:type="dxa"/>
            <w:right w:w="108" w:type="dxa"/>
          </w:tblCellMar>
        </w:tblPrEx>
        <w:trPr>
          <w:trHeight w:val="840" w:hRule="atLeast"/>
        </w:trPr>
        <w:tc>
          <w:tcPr>
            <w:tcW w:w="434"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27E33952">
            <w:pPr>
              <w:jc w:val="center"/>
              <w:rPr>
                <w:rFonts w:ascii="宋体" w:hAnsi="宋体" w:cs="宋体"/>
                <w:color w:val="000000"/>
                <w:sz w:val="18"/>
                <w:szCs w:val="18"/>
              </w:rPr>
            </w:pPr>
          </w:p>
        </w:tc>
        <w:tc>
          <w:tcPr>
            <w:tcW w:w="434" w:type="pct"/>
            <w:gridSpan w:val="2"/>
            <w:tcBorders>
              <w:top w:val="single" w:color="000000" w:sz="4" w:space="0"/>
              <w:left w:val="single" w:color="000000" w:sz="4" w:space="0"/>
              <w:bottom w:val="nil"/>
              <w:right w:val="single" w:color="000000" w:sz="4" w:space="0"/>
            </w:tcBorders>
            <w:shd w:val="clear" w:color="auto" w:fill="auto"/>
            <w:vAlign w:val="center"/>
          </w:tcPr>
          <w:p w14:paraId="42093F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34" w:type="pct"/>
            <w:gridSpan w:val="2"/>
            <w:tcBorders>
              <w:top w:val="single" w:color="000000" w:sz="4" w:space="0"/>
              <w:left w:val="single" w:color="000000" w:sz="4" w:space="0"/>
              <w:bottom w:val="nil"/>
              <w:right w:val="single" w:color="000000" w:sz="4" w:space="0"/>
            </w:tcBorders>
            <w:shd w:val="clear" w:color="auto" w:fill="auto"/>
            <w:vAlign w:val="center"/>
          </w:tcPr>
          <w:p w14:paraId="4D9590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37C095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民警满意度</w:t>
            </w:r>
          </w:p>
        </w:tc>
        <w:tc>
          <w:tcPr>
            <w:tcW w:w="401" w:type="pct"/>
            <w:gridSpan w:val="3"/>
            <w:tcBorders>
              <w:top w:val="single" w:color="000000" w:sz="4" w:space="0"/>
              <w:left w:val="single" w:color="000000" w:sz="4" w:space="0"/>
              <w:bottom w:val="nil"/>
              <w:right w:val="single" w:color="000000" w:sz="4" w:space="0"/>
            </w:tcBorders>
            <w:shd w:val="clear" w:color="auto" w:fill="auto"/>
            <w:vAlign w:val="center"/>
          </w:tcPr>
          <w:p w14:paraId="7D519E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663889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52217E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39D9A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403" w:type="pct"/>
            <w:gridSpan w:val="2"/>
            <w:tcBorders>
              <w:top w:val="single" w:color="000000" w:sz="4" w:space="0"/>
              <w:left w:val="single" w:color="000000" w:sz="4" w:space="0"/>
              <w:bottom w:val="nil"/>
              <w:right w:val="single" w:color="000000" w:sz="4" w:space="0"/>
            </w:tcBorders>
            <w:shd w:val="clear" w:color="auto" w:fill="auto"/>
            <w:vAlign w:val="center"/>
          </w:tcPr>
          <w:p w14:paraId="3BC4B7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01" w:type="pct"/>
            <w:gridSpan w:val="2"/>
            <w:tcBorders>
              <w:top w:val="single" w:color="000000" w:sz="4" w:space="0"/>
              <w:left w:val="single" w:color="000000" w:sz="4" w:space="0"/>
              <w:bottom w:val="nil"/>
              <w:right w:val="single" w:color="000000" w:sz="4" w:space="0"/>
            </w:tcBorders>
            <w:shd w:val="clear" w:color="auto" w:fill="auto"/>
            <w:vAlign w:val="center"/>
          </w:tcPr>
          <w:p w14:paraId="2DD319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43" w:type="pct"/>
            <w:gridSpan w:val="2"/>
            <w:tcBorders>
              <w:top w:val="single" w:color="000000" w:sz="4" w:space="0"/>
              <w:left w:val="single" w:color="000000" w:sz="4" w:space="0"/>
              <w:bottom w:val="nil"/>
              <w:right w:val="single" w:color="000000" w:sz="4" w:space="0"/>
            </w:tcBorders>
            <w:shd w:val="clear" w:color="auto" w:fill="auto"/>
            <w:vAlign w:val="center"/>
          </w:tcPr>
          <w:p w14:paraId="07FD32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1954CA6B">
            <w:pPr>
              <w:jc w:val="center"/>
              <w:rPr>
                <w:rFonts w:ascii="宋体" w:hAnsi="宋体" w:cs="宋体"/>
                <w:color w:val="000000"/>
                <w:sz w:val="18"/>
                <w:szCs w:val="18"/>
              </w:rPr>
            </w:pPr>
          </w:p>
        </w:tc>
      </w:tr>
      <w:tr w14:paraId="1AB45C46">
        <w:tblPrEx>
          <w:tblCellMar>
            <w:top w:w="0" w:type="dxa"/>
            <w:left w:w="108" w:type="dxa"/>
            <w:bottom w:w="0" w:type="dxa"/>
            <w:right w:w="108" w:type="dxa"/>
          </w:tblCellMar>
        </w:tblPrEx>
        <w:trPr>
          <w:trHeight w:val="840" w:hRule="atLeast"/>
        </w:trPr>
        <w:tc>
          <w:tcPr>
            <w:tcW w:w="3718"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4A2274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858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A6A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100.00</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D1EF">
            <w:pPr>
              <w:jc w:val="center"/>
              <w:rPr>
                <w:rFonts w:ascii="宋体" w:hAnsi="宋体" w:cs="宋体"/>
                <w:color w:val="000000"/>
                <w:sz w:val="18"/>
                <w:szCs w:val="18"/>
              </w:rPr>
            </w:pPr>
          </w:p>
        </w:tc>
      </w:tr>
      <w:tr w14:paraId="09CB9383">
        <w:tblPrEx>
          <w:tblCellMar>
            <w:top w:w="0" w:type="dxa"/>
            <w:left w:w="108" w:type="dxa"/>
            <w:bottom w:w="0" w:type="dxa"/>
            <w:right w:w="108" w:type="dxa"/>
          </w:tblCellMar>
        </w:tblPrEx>
        <w:trPr>
          <w:trHeight w:val="960" w:hRule="atLeast"/>
        </w:trPr>
        <w:tc>
          <w:tcPr>
            <w:tcW w:w="5000" w:type="pct"/>
            <w:gridSpan w:val="23"/>
            <w:tcBorders>
              <w:top w:val="single" w:color="000000" w:sz="4" w:space="0"/>
              <w:left w:val="single" w:color="000000" w:sz="4" w:space="0"/>
              <w:bottom w:val="single" w:color="000000" w:sz="4" w:space="0"/>
              <w:right w:val="single" w:color="000000" w:sz="4" w:space="0"/>
            </w:tcBorders>
            <w:shd w:val="clear" w:color="auto" w:fill="auto"/>
            <w:vAlign w:val="center"/>
          </w:tcPr>
          <w:p w14:paraId="0A3F8179">
            <w:pPr>
              <w:widowControl/>
              <w:jc w:val="center"/>
              <w:textAlignment w:val="center"/>
              <w:rPr>
                <w:rFonts w:ascii="宋体" w:hAnsi="宋体" w:cs="宋体"/>
                <w:b/>
                <w:bCs/>
                <w:color w:val="000000"/>
                <w:sz w:val="40"/>
                <w:szCs w:val="40"/>
              </w:rPr>
            </w:pPr>
            <w:r>
              <w:rPr>
                <w:rFonts w:hint="eastAsia" w:ascii="宋体" w:hAnsi="宋体" w:cs="宋体"/>
                <w:b/>
                <w:bCs/>
                <w:color w:val="000000"/>
                <w:kern w:val="0"/>
                <w:sz w:val="40"/>
                <w:szCs w:val="40"/>
              </w:rPr>
              <w:t>项目支出绩效自评表</w:t>
            </w:r>
            <w:r>
              <w:rPr>
                <w:rFonts w:hint="eastAsia" w:ascii="宋体" w:hAnsi="宋体" w:cs="宋体"/>
                <w:b/>
                <w:bCs/>
                <w:color w:val="000000"/>
                <w:kern w:val="0"/>
                <w:sz w:val="40"/>
                <w:szCs w:val="40"/>
              </w:rPr>
              <w:br w:type="textWrapping"/>
            </w:r>
            <w:r>
              <w:rPr>
                <w:rFonts w:hint="eastAsia" w:ascii="宋体" w:hAnsi="宋体" w:cs="宋体"/>
                <w:b/>
                <w:bCs/>
                <w:color w:val="000000"/>
                <w:kern w:val="0"/>
                <w:sz w:val="40"/>
                <w:szCs w:val="40"/>
                <w:lang w:eastAsia="zh-CN"/>
              </w:rPr>
              <w:t>（</w:t>
            </w:r>
            <w:r>
              <w:rPr>
                <w:rFonts w:hint="eastAsia" w:ascii="宋体" w:hAnsi="宋体" w:cs="宋体"/>
                <w:b/>
                <w:bCs/>
                <w:color w:val="000000"/>
                <w:kern w:val="0"/>
                <w:sz w:val="40"/>
                <w:szCs w:val="40"/>
              </w:rPr>
              <w:t>2025年度）</w:t>
            </w:r>
          </w:p>
        </w:tc>
      </w:tr>
      <w:tr w14:paraId="1B7F1332">
        <w:tblPrEx>
          <w:tblCellMar>
            <w:top w:w="0" w:type="dxa"/>
            <w:left w:w="108" w:type="dxa"/>
            <w:bottom w:w="0" w:type="dxa"/>
            <w:right w:w="108" w:type="dxa"/>
          </w:tblCellMar>
        </w:tblPrEx>
        <w:trPr>
          <w:trHeight w:val="380" w:hRule="atLeast"/>
        </w:trPr>
        <w:tc>
          <w:tcPr>
            <w:tcW w:w="5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306B82">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4473"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4B6F7B0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公安专用装备购置与设备购建</w:t>
            </w:r>
          </w:p>
        </w:tc>
      </w:tr>
      <w:tr w14:paraId="6ADC57F0">
        <w:tblPrEx>
          <w:tblCellMar>
            <w:top w:w="0" w:type="dxa"/>
            <w:left w:w="108" w:type="dxa"/>
            <w:bottom w:w="0" w:type="dxa"/>
            <w:right w:w="108" w:type="dxa"/>
          </w:tblCellMar>
        </w:tblPrEx>
        <w:trPr>
          <w:trHeight w:val="380" w:hRule="atLeast"/>
        </w:trPr>
        <w:tc>
          <w:tcPr>
            <w:tcW w:w="5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A9731E">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156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29413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内蒙古自治区公安厅部门</w:t>
            </w: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05FF12">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193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1C2E8F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内蒙古大兴安岭森林公安局吉文分局</w:t>
            </w:r>
          </w:p>
        </w:tc>
      </w:tr>
      <w:tr w14:paraId="2180FEE3">
        <w:tblPrEx>
          <w:tblCellMar>
            <w:top w:w="0" w:type="dxa"/>
            <w:left w:w="108" w:type="dxa"/>
            <w:bottom w:w="0" w:type="dxa"/>
            <w:right w:w="108" w:type="dxa"/>
          </w:tblCellMar>
        </w:tblPrEx>
        <w:trPr>
          <w:trHeight w:val="380" w:hRule="atLeast"/>
        </w:trPr>
        <w:tc>
          <w:tcPr>
            <w:tcW w:w="52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AA8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54DAF">
            <w:pPr>
              <w:rPr>
                <w:rFonts w:ascii="宋体" w:hAnsi="宋体" w:cs="宋体"/>
                <w:color w:val="000000"/>
                <w:sz w:val="18"/>
                <w:szCs w:val="18"/>
              </w:rPr>
            </w:pP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99C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年初预算数</w:t>
            </w:r>
          </w:p>
        </w:tc>
        <w:tc>
          <w:tcPr>
            <w:tcW w:w="5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55A4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0C37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9D1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8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F3E7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4FE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2769203B">
        <w:tblPrEx>
          <w:tblCellMar>
            <w:top w:w="0" w:type="dxa"/>
            <w:left w:w="108" w:type="dxa"/>
            <w:bottom w:w="0" w:type="dxa"/>
            <w:right w:w="108" w:type="dxa"/>
          </w:tblCellMar>
        </w:tblPrEx>
        <w:trPr>
          <w:trHeight w:val="528" w:hRule="atLeast"/>
        </w:trPr>
        <w:tc>
          <w:tcPr>
            <w:tcW w:w="52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085D9">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ED3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46DD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173A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39A8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5AD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7D12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3EA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5C8DD060">
        <w:tblPrEx>
          <w:tblCellMar>
            <w:top w:w="0" w:type="dxa"/>
            <w:left w:w="108" w:type="dxa"/>
            <w:bottom w:w="0" w:type="dxa"/>
            <w:right w:w="108" w:type="dxa"/>
          </w:tblCellMar>
        </w:tblPrEx>
        <w:trPr>
          <w:trHeight w:val="380" w:hRule="atLeast"/>
        </w:trPr>
        <w:tc>
          <w:tcPr>
            <w:tcW w:w="52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AEFC1">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06F5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3E58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12DF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0587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30CD">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5727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15C7">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14:paraId="2DD6FB73">
        <w:tblPrEx>
          <w:tblCellMar>
            <w:top w:w="0" w:type="dxa"/>
            <w:left w:w="108" w:type="dxa"/>
            <w:bottom w:w="0" w:type="dxa"/>
            <w:right w:w="108" w:type="dxa"/>
          </w:tblCellMar>
        </w:tblPrEx>
        <w:trPr>
          <w:trHeight w:val="401" w:hRule="atLeast"/>
        </w:trPr>
        <w:tc>
          <w:tcPr>
            <w:tcW w:w="52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E54B0">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8A3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上年结转资金</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6E694">
            <w:pPr>
              <w:rPr>
                <w:rFonts w:ascii="宋体" w:hAnsi="宋体" w:cs="宋体"/>
                <w:color w:val="000000"/>
                <w:sz w:val="18"/>
                <w:szCs w:val="18"/>
              </w:rPr>
            </w:pPr>
          </w:p>
        </w:tc>
        <w:tc>
          <w:tcPr>
            <w:tcW w:w="5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2DE6E1">
            <w:pPr>
              <w:jc w:val="center"/>
              <w:rPr>
                <w:rFonts w:ascii="宋体" w:hAnsi="宋体" w:cs="宋体"/>
                <w:color w:val="000000"/>
                <w:sz w:val="18"/>
                <w:szCs w:val="18"/>
              </w:rPr>
            </w:pP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923E5F">
            <w:pPr>
              <w:jc w:val="center"/>
              <w:rPr>
                <w:rFonts w:ascii="宋体" w:hAnsi="宋体" w:cs="宋体"/>
                <w:color w:val="000000"/>
                <w:sz w:val="18"/>
                <w:szCs w:val="18"/>
              </w:rPr>
            </w:pP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0861">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66668F">
            <w:pPr>
              <w:jc w:val="center"/>
              <w:rPr>
                <w:rFonts w:ascii="宋体" w:hAnsi="宋体" w:cs="宋体"/>
                <w:color w:val="000000"/>
                <w:sz w:val="18"/>
                <w:szCs w:val="18"/>
              </w:rPr>
            </w:pP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2DC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14:paraId="1F04C9BA">
        <w:tblPrEx>
          <w:tblCellMar>
            <w:top w:w="0" w:type="dxa"/>
            <w:left w:w="108" w:type="dxa"/>
            <w:bottom w:w="0" w:type="dxa"/>
            <w:right w:w="108" w:type="dxa"/>
          </w:tblCellMar>
        </w:tblPrEx>
        <w:trPr>
          <w:trHeight w:val="380" w:hRule="atLeast"/>
        </w:trPr>
        <w:tc>
          <w:tcPr>
            <w:tcW w:w="52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0F397">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4A5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E0C7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5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412A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9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C83C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4C2B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7CA6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7535">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14:paraId="7EFCE07F">
        <w:tblPrEx>
          <w:tblCellMar>
            <w:top w:w="0" w:type="dxa"/>
            <w:left w:w="108" w:type="dxa"/>
            <w:bottom w:w="0" w:type="dxa"/>
            <w:right w:w="108" w:type="dxa"/>
          </w:tblCellMar>
        </w:tblPrEx>
        <w:trPr>
          <w:trHeight w:val="380" w:hRule="atLeast"/>
        </w:trPr>
        <w:tc>
          <w:tcPr>
            <w:tcW w:w="52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14D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20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8DE50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245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22BB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365FEA23">
        <w:tblPrEx>
          <w:tblCellMar>
            <w:top w:w="0" w:type="dxa"/>
            <w:left w:w="108" w:type="dxa"/>
            <w:bottom w:w="0" w:type="dxa"/>
            <w:right w:w="108" w:type="dxa"/>
          </w:tblCellMar>
        </w:tblPrEx>
        <w:trPr>
          <w:trHeight w:val="1440" w:hRule="atLeast"/>
        </w:trPr>
        <w:tc>
          <w:tcPr>
            <w:tcW w:w="52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48459">
            <w:pPr>
              <w:jc w:val="center"/>
              <w:rPr>
                <w:rFonts w:ascii="宋体" w:hAnsi="宋体" w:cs="宋体"/>
                <w:color w:val="000000"/>
                <w:sz w:val="18"/>
                <w:szCs w:val="18"/>
              </w:rPr>
            </w:pPr>
          </w:p>
        </w:tc>
        <w:tc>
          <w:tcPr>
            <w:tcW w:w="202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69E6D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提高森林公安整体业务装备水平，实现预防和打击犯罪，提高破案水平，加大对涉林野生动植物案件的打击力度，增加线索核查率，维护社会治安稳定，提高我单位业务装备水平。</w:t>
            </w:r>
          </w:p>
        </w:tc>
        <w:tc>
          <w:tcPr>
            <w:tcW w:w="245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0A9A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有效提升森林公安警务工作能力，刑事技术装备购置3个，执法勤务装备购置</w:t>
            </w:r>
            <w:r>
              <w:rPr>
                <w:rFonts w:ascii="宋体" w:hAnsi="宋体" w:cs="宋体"/>
                <w:color w:val="000000"/>
                <w:kern w:val="0"/>
                <w:sz w:val="18"/>
                <w:szCs w:val="18"/>
              </w:rPr>
              <w:t>1</w:t>
            </w:r>
            <w:r>
              <w:rPr>
                <w:rFonts w:hint="eastAsia" w:ascii="宋体" w:hAnsi="宋体" w:cs="宋体"/>
                <w:color w:val="000000"/>
                <w:kern w:val="0"/>
                <w:sz w:val="18"/>
                <w:szCs w:val="18"/>
              </w:rPr>
              <w:t>8个，刑侦技术装备验收合格率及执法勤务装备验收合格率</w:t>
            </w:r>
            <w:r>
              <w:rPr>
                <w:rFonts w:ascii="宋体" w:hAnsi="宋体" w:cs="宋体"/>
                <w:color w:val="000000"/>
                <w:kern w:val="0"/>
                <w:sz w:val="18"/>
                <w:szCs w:val="18"/>
              </w:rPr>
              <w:t>100%</w:t>
            </w:r>
            <w:r>
              <w:rPr>
                <w:rFonts w:hint="eastAsia" w:ascii="宋体" w:hAnsi="宋体" w:cs="宋体"/>
                <w:color w:val="000000"/>
                <w:kern w:val="0"/>
                <w:sz w:val="18"/>
                <w:szCs w:val="18"/>
              </w:rPr>
              <w:t>，有效提高民警工作效率，装备使用人员满意度</w:t>
            </w:r>
            <w:r>
              <w:rPr>
                <w:rFonts w:ascii="宋体" w:hAnsi="宋体" w:cs="宋体"/>
                <w:color w:val="000000"/>
                <w:kern w:val="0"/>
                <w:sz w:val="18"/>
                <w:szCs w:val="18"/>
              </w:rPr>
              <w:t>100%</w:t>
            </w:r>
            <w:r>
              <w:rPr>
                <w:rFonts w:hint="eastAsia" w:ascii="宋体" w:hAnsi="宋体" w:cs="宋体"/>
                <w:color w:val="000000"/>
                <w:kern w:val="0"/>
                <w:sz w:val="18"/>
                <w:szCs w:val="18"/>
              </w:rPr>
              <w:t>。</w:t>
            </w:r>
          </w:p>
        </w:tc>
      </w:tr>
      <w:tr w14:paraId="13EEA487">
        <w:tblPrEx>
          <w:tblCellMar>
            <w:top w:w="0" w:type="dxa"/>
            <w:left w:w="108" w:type="dxa"/>
            <w:bottom w:w="0" w:type="dxa"/>
            <w:right w:w="108" w:type="dxa"/>
          </w:tblCellMar>
        </w:tblPrEx>
        <w:trPr>
          <w:trHeight w:val="64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C9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w:t>
            </w:r>
          </w:p>
        </w:tc>
        <w:tc>
          <w:tcPr>
            <w:tcW w:w="2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098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34D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D737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2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6DF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指标性质</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9EB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指标方向</w:t>
            </w:r>
          </w:p>
        </w:tc>
        <w:tc>
          <w:tcPr>
            <w:tcW w:w="4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38B2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1EB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4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06A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计量单位</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1AC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5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973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D86F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6598246A">
        <w:tblPrEx>
          <w:tblCellMar>
            <w:top w:w="0" w:type="dxa"/>
            <w:left w:w="108" w:type="dxa"/>
            <w:bottom w:w="0" w:type="dxa"/>
            <w:right w:w="108" w:type="dxa"/>
          </w:tblCellMar>
        </w:tblPrEx>
        <w:trPr>
          <w:trHeight w:val="2010" w:hRule="atLeast"/>
        </w:trPr>
        <w:tc>
          <w:tcPr>
            <w:tcW w:w="258" w:type="pct"/>
            <w:vMerge w:val="restart"/>
            <w:tcBorders>
              <w:top w:val="single" w:color="000000" w:sz="4" w:space="0"/>
              <w:left w:val="single" w:color="000000" w:sz="4" w:space="0"/>
              <w:bottom w:val="nil"/>
              <w:right w:val="single" w:color="000000" w:sz="4" w:space="0"/>
            </w:tcBorders>
            <w:shd w:val="clear" w:color="auto" w:fill="auto"/>
            <w:vAlign w:val="center"/>
          </w:tcPr>
          <w:p w14:paraId="1433D3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w:t>
            </w:r>
          </w:p>
        </w:tc>
        <w:tc>
          <w:tcPr>
            <w:tcW w:w="268"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5AA9BA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475"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1593CB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143D93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刑侦技术装备购置数量</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7D919A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2B239A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3D5647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1904DD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DDF46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4806CB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15B098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14346AAF">
            <w:pPr>
              <w:widowControl/>
              <w:jc w:val="center"/>
              <w:textAlignment w:val="center"/>
              <w:rPr>
                <w:rFonts w:ascii="宋体" w:hAnsi="宋体" w:cs="宋体"/>
                <w:color w:val="000000"/>
                <w:sz w:val="18"/>
                <w:szCs w:val="18"/>
              </w:rPr>
            </w:pPr>
          </w:p>
        </w:tc>
      </w:tr>
      <w:tr w14:paraId="6FF821C3">
        <w:tblPrEx>
          <w:tblCellMar>
            <w:top w:w="0" w:type="dxa"/>
            <w:left w:w="108" w:type="dxa"/>
            <w:bottom w:w="0" w:type="dxa"/>
            <w:right w:w="108" w:type="dxa"/>
          </w:tblCellMar>
        </w:tblPrEx>
        <w:trPr>
          <w:trHeight w:val="201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35D8BCE3">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B9FB09C">
            <w:pPr>
              <w:jc w:val="center"/>
              <w:rPr>
                <w:rFonts w:ascii="宋体" w:hAnsi="宋体" w:cs="宋体"/>
                <w:color w:val="000000"/>
                <w:sz w:val="18"/>
                <w:szCs w:val="18"/>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59465DDA">
            <w:pPr>
              <w:jc w:val="center"/>
              <w:rPr>
                <w:rFonts w:ascii="宋体" w:hAnsi="宋体" w:cs="宋体"/>
                <w:color w:val="000000"/>
                <w:sz w:val="18"/>
                <w:szCs w:val="18"/>
              </w:rPr>
            </w:pP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0DD170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执法勤务装备购置数量</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149F41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10D2A2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041FAD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461173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1A0E4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34C7A7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13F5D9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1F4A41D7">
            <w:pPr>
              <w:widowControl/>
              <w:jc w:val="center"/>
              <w:textAlignment w:val="center"/>
              <w:rPr>
                <w:rFonts w:ascii="宋体" w:hAnsi="宋体" w:cs="宋体"/>
                <w:color w:val="000000"/>
                <w:sz w:val="18"/>
                <w:szCs w:val="18"/>
              </w:rPr>
            </w:pPr>
          </w:p>
        </w:tc>
      </w:tr>
      <w:tr w14:paraId="61A59775">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35DBF85D">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0BA334E5">
            <w:pPr>
              <w:jc w:val="center"/>
              <w:rPr>
                <w:rFonts w:ascii="宋体" w:hAnsi="宋体" w:cs="宋体"/>
                <w:color w:val="000000"/>
                <w:sz w:val="18"/>
                <w:szCs w:val="18"/>
              </w:rPr>
            </w:pPr>
          </w:p>
        </w:tc>
        <w:tc>
          <w:tcPr>
            <w:tcW w:w="475"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05779C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1458DC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刑侦技术装备验收合格率</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15CFC2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339741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0F830A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20E1BD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214642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526A3C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4D539E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1FA191DA">
            <w:pPr>
              <w:jc w:val="center"/>
              <w:rPr>
                <w:rFonts w:ascii="宋体" w:hAnsi="宋体" w:cs="宋体"/>
                <w:color w:val="000000"/>
                <w:sz w:val="18"/>
                <w:szCs w:val="18"/>
              </w:rPr>
            </w:pPr>
          </w:p>
        </w:tc>
      </w:tr>
      <w:tr w14:paraId="4B37E2D6">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3A26AF72">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4134C8B0">
            <w:pPr>
              <w:jc w:val="center"/>
              <w:rPr>
                <w:rFonts w:ascii="宋体" w:hAnsi="宋体" w:cs="宋体"/>
                <w:color w:val="000000"/>
                <w:sz w:val="18"/>
                <w:szCs w:val="18"/>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42B7BAE2">
            <w:pPr>
              <w:jc w:val="center"/>
              <w:rPr>
                <w:rFonts w:ascii="宋体" w:hAnsi="宋体" w:cs="宋体"/>
                <w:color w:val="000000"/>
                <w:sz w:val="18"/>
                <w:szCs w:val="18"/>
              </w:rPr>
            </w:pP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11F8D0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执法勤务装备验收合格率</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57F1FD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24CB6E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6B7455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372D40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7C002F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72516D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64822B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07699A3B">
            <w:pPr>
              <w:jc w:val="center"/>
              <w:rPr>
                <w:rFonts w:ascii="宋体" w:hAnsi="宋体" w:cs="宋体"/>
                <w:color w:val="000000"/>
                <w:sz w:val="18"/>
                <w:szCs w:val="18"/>
              </w:rPr>
            </w:pPr>
          </w:p>
        </w:tc>
      </w:tr>
      <w:tr w14:paraId="32017CC3">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7F33D99B">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10D700FC">
            <w:pPr>
              <w:jc w:val="center"/>
              <w:rPr>
                <w:rFonts w:ascii="宋体" w:hAnsi="宋体" w:cs="宋体"/>
                <w:color w:val="000000"/>
                <w:sz w:val="18"/>
                <w:szCs w:val="18"/>
              </w:rPr>
            </w:pPr>
          </w:p>
        </w:tc>
        <w:tc>
          <w:tcPr>
            <w:tcW w:w="475"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2D2EF0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7CBFB3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刑侦技术装备购置完成时间</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6BB0A2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6F61BC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5B77D0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36C31D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161574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7D492A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32FEB1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35BC519C">
            <w:pPr>
              <w:jc w:val="center"/>
              <w:rPr>
                <w:rFonts w:ascii="宋体" w:hAnsi="宋体" w:cs="宋体"/>
                <w:color w:val="000000"/>
                <w:sz w:val="18"/>
                <w:szCs w:val="18"/>
              </w:rPr>
            </w:pPr>
          </w:p>
        </w:tc>
      </w:tr>
      <w:tr w14:paraId="54F9A8B2">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320358E1">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2408BD89">
            <w:pPr>
              <w:jc w:val="center"/>
              <w:rPr>
                <w:rFonts w:ascii="宋体" w:hAnsi="宋体" w:cs="宋体"/>
                <w:color w:val="000000"/>
                <w:sz w:val="18"/>
                <w:szCs w:val="18"/>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0D825982">
            <w:pPr>
              <w:jc w:val="center"/>
              <w:rPr>
                <w:rFonts w:ascii="宋体" w:hAnsi="宋体" w:cs="宋体"/>
                <w:color w:val="000000"/>
                <w:sz w:val="18"/>
                <w:szCs w:val="18"/>
              </w:rPr>
            </w:pP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132503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执法勤务装备采购完成时间</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29EE10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15932A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07AD8F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197A0E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450148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6D0E50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1C5209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6050C75E">
            <w:pPr>
              <w:jc w:val="center"/>
              <w:rPr>
                <w:rFonts w:ascii="宋体" w:hAnsi="宋体" w:cs="宋体"/>
                <w:color w:val="000000"/>
                <w:sz w:val="18"/>
                <w:szCs w:val="18"/>
              </w:rPr>
            </w:pPr>
          </w:p>
        </w:tc>
      </w:tr>
      <w:tr w14:paraId="595E5D34">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1BFBD720">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6A58580">
            <w:pPr>
              <w:jc w:val="center"/>
              <w:rPr>
                <w:rFonts w:ascii="宋体" w:hAnsi="宋体" w:cs="宋体"/>
                <w:color w:val="000000"/>
                <w:sz w:val="18"/>
                <w:szCs w:val="18"/>
              </w:rPr>
            </w:pPr>
          </w:p>
        </w:tc>
        <w:tc>
          <w:tcPr>
            <w:tcW w:w="475"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47D3B2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7C483D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刑侦技术装备采购成本</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2CD1D6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19BB3C7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60C514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10.79</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56AB45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10.79</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EBB4E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377BC2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77399C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4AA5DE0D">
            <w:pPr>
              <w:jc w:val="center"/>
              <w:rPr>
                <w:rFonts w:ascii="宋体" w:hAnsi="宋体" w:cs="宋体"/>
                <w:color w:val="000000"/>
                <w:sz w:val="18"/>
                <w:szCs w:val="18"/>
              </w:rPr>
            </w:pPr>
          </w:p>
        </w:tc>
      </w:tr>
      <w:tr w14:paraId="7DADA6AC">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464A0671">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4D827A36">
            <w:pPr>
              <w:jc w:val="center"/>
              <w:rPr>
                <w:rFonts w:ascii="宋体" w:hAnsi="宋体" w:cs="宋体"/>
                <w:color w:val="000000"/>
                <w:sz w:val="18"/>
                <w:szCs w:val="18"/>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200E5FA9">
            <w:pPr>
              <w:jc w:val="center"/>
              <w:rPr>
                <w:rFonts w:ascii="宋体" w:hAnsi="宋体" w:cs="宋体"/>
                <w:color w:val="000000"/>
                <w:sz w:val="18"/>
                <w:szCs w:val="18"/>
              </w:rPr>
            </w:pP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05C166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执法勤务装备采购成本</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470B78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反向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54D2F0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66C08D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3.21</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6559CD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3.21</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1CE384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1004DF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1032B3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0D437D67">
            <w:pPr>
              <w:jc w:val="center"/>
              <w:rPr>
                <w:rFonts w:ascii="宋体" w:hAnsi="宋体" w:cs="宋体"/>
                <w:color w:val="000000"/>
                <w:sz w:val="18"/>
                <w:szCs w:val="18"/>
              </w:rPr>
            </w:pPr>
          </w:p>
        </w:tc>
      </w:tr>
      <w:tr w14:paraId="5E883A20">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486A1E96">
            <w:pPr>
              <w:jc w:val="center"/>
              <w:rPr>
                <w:rFonts w:ascii="宋体" w:hAnsi="宋体" w:cs="宋体"/>
                <w:color w:val="000000"/>
                <w:sz w:val="18"/>
                <w:szCs w:val="18"/>
              </w:rPr>
            </w:pPr>
          </w:p>
        </w:tc>
        <w:tc>
          <w:tcPr>
            <w:tcW w:w="268"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04209D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475" w:type="pct"/>
            <w:gridSpan w:val="2"/>
            <w:tcBorders>
              <w:top w:val="single" w:color="000000" w:sz="4" w:space="0"/>
              <w:left w:val="single" w:color="000000" w:sz="4" w:space="0"/>
              <w:bottom w:val="nil"/>
              <w:right w:val="single" w:color="000000" w:sz="4" w:space="0"/>
            </w:tcBorders>
            <w:shd w:val="clear" w:color="auto" w:fill="auto"/>
            <w:vAlign w:val="center"/>
          </w:tcPr>
          <w:p w14:paraId="5BA415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77E903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提高民警工作效率</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0A7324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30C87C24">
            <w:pPr>
              <w:jc w:val="center"/>
              <w:rPr>
                <w:rFonts w:ascii="宋体" w:hAnsi="宋体" w:cs="宋体"/>
                <w:color w:val="000000"/>
                <w:sz w:val="18"/>
                <w:szCs w:val="18"/>
              </w:rPr>
            </w:pP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0FF54B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363FD0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C0DD854">
            <w:pPr>
              <w:jc w:val="center"/>
              <w:rPr>
                <w:rFonts w:ascii="宋体" w:hAnsi="宋体" w:cs="宋体"/>
                <w:color w:val="000000"/>
                <w:sz w:val="18"/>
                <w:szCs w:val="18"/>
              </w:rPr>
            </w:pP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34A0E2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39DFAB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7567EC34">
            <w:pPr>
              <w:jc w:val="center"/>
              <w:rPr>
                <w:rFonts w:ascii="宋体" w:hAnsi="宋体" w:cs="宋体"/>
                <w:color w:val="000000"/>
                <w:sz w:val="18"/>
                <w:szCs w:val="18"/>
              </w:rPr>
            </w:pPr>
          </w:p>
        </w:tc>
      </w:tr>
      <w:tr w14:paraId="4F953009">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36D58222">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55077C0E">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nil"/>
              <w:right w:val="single" w:color="000000" w:sz="4" w:space="0"/>
            </w:tcBorders>
            <w:shd w:val="clear" w:color="auto" w:fill="auto"/>
            <w:vAlign w:val="center"/>
          </w:tcPr>
          <w:p w14:paraId="1520C9B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2700E8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为野生动物救治及植被恢复提供保障</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7538BB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700A1967">
            <w:pPr>
              <w:jc w:val="center"/>
              <w:rPr>
                <w:rFonts w:ascii="宋体" w:hAnsi="宋体" w:cs="宋体"/>
                <w:color w:val="000000"/>
                <w:sz w:val="18"/>
                <w:szCs w:val="18"/>
              </w:rPr>
            </w:pP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58DDDB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09DA40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有效保障</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21D76E55">
            <w:pPr>
              <w:jc w:val="center"/>
              <w:rPr>
                <w:rFonts w:ascii="宋体" w:hAnsi="宋体" w:cs="宋体"/>
                <w:color w:val="000000"/>
                <w:sz w:val="18"/>
                <w:szCs w:val="18"/>
              </w:rPr>
            </w:pP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7C960E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752A7D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3C42C006">
            <w:pPr>
              <w:jc w:val="center"/>
              <w:rPr>
                <w:rFonts w:ascii="宋体" w:hAnsi="宋体" w:cs="宋体"/>
                <w:color w:val="000000"/>
                <w:sz w:val="18"/>
                <w:szCs w:val="18"/>
              </w:rPr>
            </w:pPr>
          </w:p>
        </w:tc>
      </w:tr>
      <w:tr w14:paraId="31C2B0B4">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49637F49">
            <w:pPr>
              <w:jc w:val="center"/>
              <w:rPr>
                <w:rFonts w:ascii="宋体" w:hAnsi="宋体" w:cs="宋体"/>
                <w:color w:val="000000"/>
                <w:sz w:val="18"/>
                <w:szCs w:val="18"/>
              </w:rPr>
            </w:pPr>
          </w:p>
        </w:tc>
        <w:tc>
          <w:tcPr>
            <w:tcW w:w="268"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799AD80">
            <w:pPr>
              <w:jc w:val="center"/>
              <w:rPr>
                <w:rFonts w:ascii="宋体" w:hAnsi="宋体" w:cs="宋体"/>
                <w:color w:val="000000"/>
                <w:sz w:val="18"/>
                <w:szCs w:val="18"/>
              </w:rPr>
            </w:pPr>
          </w:p>
        </w:tc>
        <w:tc>
          <w:tcPr>
            <w:tcW w:w="475" w:type="pct"/>
            <w:gridSpan w:val="2"/>
            <w:tcBorders>
              <w:top w:val="single" w:color="000000" w:sz="4" w:space="0"/>
              <w:left w:val="single" w:color="000000" w:sz="4" w:space="0"/>
              <w:bottom w:val="nil"/>
              <w:right w:val="single" w:color="000000" w:sz="4" w:space="0"/>
            </w:tcBorders>
            <w:shd w:val="clear" w:color="auto" w:fill="auto"/>
            <w:vAlign w:val="center"/>
          </w:tcPr>
          <w:p w14:paraId="29DA25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2D1302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持续提升警务工作能力</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6BF9CD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定性</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0CC1A4F6">
            <w:pPr>
              <w:jc w:val="center"/>
              <w:rPr>
                <w:rFonts w:ascii="宋体" w:hAnsi="宋体" w:cs="宋体"/>
                <w:color w:val="000000"/>
                <w:sz w:val="18"/>
                <w:szCs w:val="18"/>
              </w:rPr>
            </w:pP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2C0153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持续提升</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59B8B4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持续提升</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03122678">
            <w:pPr>
              <w:jc w:val="center"/>
              <w:rPr>
                <w:rFonts w:ascii="宋体" w:hAnsi="宋体" w:cs="宋体"/>
                <w:color w:val="000000"/>
                <w:sz w:val="18"/>
                <w:szCs w:val="18"/>
              </w:rPr>
            </w:pP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0A0B7A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792D73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250E6E74">
            <w:pPr>
              <w:jc w:val="center"/>
              <w:rPr>
                <w:rFonts w:ascii="宋体" w:hAnsi="宋体" w:cs="宋体"/>
                <w:color w:val="000000"/>
                <w:sz w:val="18"/>
                <w:szCs w:val="18"/>
              </w:rPr>
            </w:pPr>
          </w:p>
        </w:tc>
      </w:tr>
      <w:tr w14:paraId="6E52BA67">
        <w:tblPrEx>
          <w:tblCellMar>
            <w:top w:w="0" w:type="dxa"/>
            <w:left w:w="108" w:type="dxa"/>
            <w:bottom w:w="0" w:type="dxa"/>
            <w:right w:w="108" w:type="dxa"/>
          </w:tblCellMar>
        </w:tblPrEx>
        <w:trPr>
          <w:trHeight w:val="840" w:hRule="atLeast"/>
        </w:trPr>
        <w:tc>
          <w:tcPr>
            <w:tcW w:w="258" w:type="pct"/>
            <w:vMerge w:val="continue"/>
            <w:tcBorders>
              <w:top w:val="single" w:color="000000" w:sz="4" w:space="0"/>
              <w:left w:val="single" w:color="000000" w:sz="4" w:space="0"/>
              <w:bottom w:val="nil"/>
              <w:right w:val="single" w:color="000000" w:sz="4" w:space="0"/>
            </w:tcBorders>
            <w:shd w:val="clear" w:color="auto" w:fill="auto"/>
            <w:vAlign w:val="center"/>
          </w:tcPr>
          <w:p w14:paraId="403242D2">
            <w:pPr>
              <w:jc w:val="center"/>
              <w:rPr>
                <w:rFonts w:ascii="宋体" w:hAnsi="宋体" w:cs="宋体"/>
                <w:color w:val="000000"/>
                <w:sz w:val="18"/>
                <w:szCs w:val="18"/>
              </w:rPr>
            </w:pPr>
          </w:p>
        </w:tc>
        <w:tc>
          <w:tcPr>
            <w:tcW w:w="268" w:type="pct"/>
            <w:gridSpan w:val="2"/>
            <w:tcBorders>
              <w:top w:val="single" w:color="000000" w:sz="4" w:space="0"/>
              <w:left w:val="single" w:color="000000" w:sz="4" w:space="0"/>
              <w:bottom w:val="nil"/>
              <w:right w:val="single" w:color="000000" w:sz="4" w:space="0"/>
            </w:tcBorders>
            <w:shd w:val="clear" w:color="auto" w:fill="auto"/>
            <w:vAlign w:val="center"/>
          </w:tcPr>
          <w:p w14:paraId="0B3F3C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475" w:type="pct"/>
            <w:gridSpan w:val="2"/>
            <w:tcBorders>
              <w:top w:val="single" w:color="000000" w:sz="4" w:space="0"/>
              <w:left w:val="single" w:color="000000" w:sz="4" w:space="0"/>
              <w:bottom w:val="nil"/>
              <w:right w:val="single" w:color="000000" w:sz="4" w:space="0"/>
            </w:tcBorders>
            <w:shd w:val="clear" w:color="auto" w:fill="auto"/>
            <w:vAlign w:val="center"/>
          </w:tcPr>
          <w:p w14:paraId="667E65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492" w:type="pct"/>
            <w:gridSpan w:val="2"/>
            <w:tcBorders>
              <w:top w:val="single" w:color="000000" w:sz="4" w:space="0"/>
              <w:left w:val="single" w:color="000000" w:sz="4" w:space="0"/>
              <w:bottom w:val="nil"/>
              <w:right w:val="single" w:color="000000" w:sz="4" w:space="0"/>
            </w:tcBorders>
            <w:shd w:val="clear" w:color="auto" w:fill="auto"/>
            <w:vAlign w:val="center"/>
          </w:tcPr>
          <w:p w14:paraId="258961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装备使用人员满意度</w:t>
            </w:r>
          </w:p>
        </w:tc>
        <w:tc>
          <w:tcPr>
            <w:tcW w:w="297" w:type="pct"/>
            <w:gridSpan w:val="2"/>
            <w:tcBorders>
              <w:top w:val="single" w:color="000000" w:sz="4" w:space="0"/>
              <w:left w:val="single" w:color="000000" w:sz="4" w:space="0"/>
              <w:bottom w:val="nil"/>
              <w:right w:val="single" w:color="000000" w:sz="4" w:space="0"/>
            </w:tcBorders>
            <w:shd w:val="clear" w:color="auto" w:fill="auto"/>
            <w:vAlign w:val="center"/>
          </w:tcPr>
          <w:p w14:paraId="68551A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正向</w:t>
            </w:r>
          </w:p>
        </w:tc>
        <w:tc>
          <w:tcPr>
            <w:tcW w:w="297" w:type="pct"/>
            <w:tcBorders>
              <w:top w:val="single" w:color="000000" w:sz="4" w:space="0"/>
              <w:left w:val="single" w:color="000000" w:sz="4" w:space="0"/>
              <w:bottom w:val="nil"/>
              <w:right w:val="single" w:color="000000" w:sz="4" w:space="0"/>
            </w:tcBorders>
            <w:shd w:val="clear" w:color="auto" w:fill="auto"/>
            <w:vAlign w:val="center"/>
          </w:tcPr>
          <w:p w14:paraId="767AAB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大于等于</w:t>
            </w:r>
          </w:p>
        </w:tc>
        <w:tc>
          <w:tcPr>
            <w:tcW w:w="458" w:type="pct"/>
            <w:gridSpan w:val="3"/>
            <w:tcBorders>
              <w:top w:val="single" w:color="000000" w:sz="4" w:space="0"/>
              <w:left w:val="single" w:color="000000" w:sz="4" w:space="0"/>
              <w:bottom w:val="nil"/>
              <w:right w:val="single" w:color="000000" w:sz="4" w:space="0"/>
            </w:tcBorders>
            <w:shd w:val="clear" w:color="auto" w:fill="auto"/>
            <w:vAlign w:val="center"/>
          </w:tcPr>
          <w:p w14:paraId="15D51F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515" w:type="pct"/>
            <w:gridSpan w:val="2"/>
            <w:tcBorders>
              <w:top w:val="single" w:color="000000" w:sz="4" w:space="0"/>
              <w:left w:val="single" w:color="000000" w:sz="4" w:space="0"/>
              <w:bottom w:val="nil"/>
              <w:right w:val="single" w:color="000000" w:sz="4" w:space="0"/>
            </w:tcBorders>
            <w:shd w:val="clear" w:color="auto" w:fill="auto"/>
            <w:vAlign w:val="center"/>
          </w:tcPr>
          <w:p w14:paraId="1B38F7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452" w:type="pct"/>
            <w:gridSpan w:val="2"/>
            <w:tcBorders>
              <w:top w:val="single" w:color="000000" w:sz="4" w:space="0"/>
              <w:left w:val="single" w:color="000000" w:sz="4" w:space="0"/>
              <w:bottom w:val="nil"/>
              <w:right w:val="single" w:color="000000" w:sz="4" w:space="0"/>
            </w:tcBorders>
            <w:shd w:val="clear" w:color="auto" w:fill="auto"/>
            <w:vAlign w:val="center"/>
          </w:tcPr>
          <w:p w14:paraId="536DAE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342" w:type="pct"/>
            <w:gridSpan w:val="2"/>
            <w:tcBorders>
              <w:top w:val="single" w:color="000000" w:sz="4" w:space="0"/>
              <w:left w:val="single" w:color="000000" w:sz="4" w:space="0"/>
              <w:bottom w:val="nil"/>
              <w:right w:val="single" w:color="000000" w:sz="4" w:space="0"/>
            </w:tcBorders>
            <w:shd w:val="clear" w:color="auto" w:fill="auto"/>
            <w:vAlign w:val="center"/>
          </w:tcPr>
          <w:p w14:paraId="4980F9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512" w:type="pct"/>
            <w:gridSpan w:val="2"/>
            <w:tcBorders>
              <w:top w:val="single" w:color="000000" w:sz="4" w:space="0"/>
              <w:left w:val="single" w:color="000000" w:sz="4" w:space="0"/>
              <w:bottom w:val="nil"/>
              <w:right w:val="single" w:color="000000" w:sz="4" w:space="0"/>
            </w:tcBorders>
            <w:shd w:val="clear" w:color="auto" w:fill="auto"/>
            <w:vAlign w:val="center"/>
          </w:tcPr>
          <w:p w14:paraId="5A2F95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29" w:type="pct"/>
            <w:gridSpan w:val="2"/>
            <w:tcBorders>
              <w:top w:val="single" w:color="000000" w:sz="4" w:space="0"/>
              <w:left w:val="single" w:color="000000" w:sz="4" w:space="0"/>
              <w:bottom w:val="nil"/>
              <w:right w:val="single" w:color="000000" w:sz="4" w:space="0"/>
            </w:tcBorders>
            <w:shd w:val="clear" w:color="auto" w:fill="auto"/>
            <w:vAlign w:val="center"/>
          </w:tcPr>
          <w:p w14:paraId="7B137B05">
            <w:pPr>
              <w:jc w:val="center"/>
              <w:rPr>
                <w:rFonts w:ascii="宋体" w:hAnsi="宋体" w:cs="宋体"/>
                <w:color w:val="000000"/>
                <w:sz w:val="18"/>
                <w:szCs w:val="18"/>
              </w:rPr>
            </w:pPr>
          </w:p>
        </w:tc>
      </w:tr>
      <w:tr w14:paraId="50A4107F">
        <w:tblPrEx>
          <w:tblCellMar>
            <w:top w:w="0" w:type="dxa"/>
            <w:left w:w="108" w:type="dxa"/>
            <w:bottom w:w="0" w:type="dxa"/>
            <w:right w:w="108" w:type="dxa"/>
          </w:tblCellMar>
        </w:tblPrEx>
        <w:trPr>
          <w:trHeight w:val="840" w:hRule="atLeast"/>
        </w:trPr>
        <w:tc>
          <w:tcPr>
            <w:tcW w:w="3515"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2C8903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A16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FAB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100.00</w:t>
            </w:r>
          </w:p>
        </w:tc>
        <w:tc>
          <w:tcPr>
            <w:tcW w:w="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618AA">
            <w:pPr>
              <w:jc w:val="center"/>
              <w:rPr>
                <w:rFonts w:ascii="宋体" w:hAnsi="宋体" w:cs="宋体"/>
                <w:color w:val="000000"/>
                <w:sz w:val="18"/>
                <w:szCs w:val="18"/>
              </w:rPr>
            </w:pPr>
          </w:p>
        </w:tc>
      </w:tr>
    </w:tbl>
    <w:p w14:paraId="640C9EAB">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（三）部门项目绩效评价结果。</w:t>
      </w:r>
    </w:p>
    <w:p w14:paraId="5924F63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本单位未开展部门项目绩效评价，所有项目绩效评价均为自评。</w:t>
      </w:r>
    </w:p>
    <w:p w14:paraId="2EDD868F">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楷体_GB2312" w:eastAsia="楷体_GB2312"/>
          <w:kern w:val="0"/>
          <w:sz w:val="24"/>
        </w:rPr>
      </w:pPr>
      <w:r>
        <w:rPr>
          <w:rFonts w:hint="eastAsia" w:ascii="楷体_GB2312" w:hAnsi="楷体" w:eastAsia="楷体_GB2312" w:cs="楷体"/>
          <w:b/>
          <w:bCs/>
          <w:kern w:val="0"/>
          <w:sz w:val="32"/>
          <w:szCs w:val="32"/>
        </w:rPr>
        <w:t>（四）单位预算绩效管理制度和核心绩效指标标准体系建设情况。</w:t>
      </w:r>
    </w:p>
    <w:p w14:paraId="4F14675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eastAsia="仿宋_GB2312"/>
          <w:kern w:val="0"/>
          <w:sz w:val="32"/>
          <w:szCs w:val="32"/>
        </w:rPr>
        <w:t>本年度，我单位严格按照全面实施预算绩效管理有关工作要求，持续健全预算绩效管理制度体系，完善核心绩效指标标准体系建设，稳步推进预算绩效管理制度化、规范化、常态化。</w:t>
      </w:r>
    </w:p>
    <w:p w14:paraId="62844666">
      <w:pPr>
        <w:pStyle w:val="3"/>
        <w:keepNext w:val="0"/>
        <w:keepLines w:val="0"/>
        <w:pageBreakBefore w:val="0"/>
        <w:widowControl/>
        <w:kinsoku/>
        <w:wordWrap/>
        <w:overflowPunct/>
        <w:topLinePunct w:val="0"/>
        <w:autoSpaceDE/>
        <w:autoSpaceDN/>
        <w:bidi w:val="0"/>
        <w:adjustRightInd/>
        <w:snapToGrid/>
        <w:spacing w:before="0" w:after="0" w:line="360" w:lineRule="auto"/>
        <w:ind w:firstLine="640" w:firstLineChars="200"/>
        <w:jc w:val="both"/>
        <w:textAlignment w:val="auto"/>
        <w:rPr>
          <w:rFonts w:hint="eastAsia" w:ascii="仿宋_GB2312" w:hAnsi="仿宋" w:eastAsia="仿宋_GB2312" w:cs="仿宋"/>
          <w:b w:val="0"/>
          <w:bCs w:val="0"/>
          <w:kern w:val="0"/>
          <w:sz w:val="32"/>
          <w:szCs w:val="32"/>
          <w:lang w:val="en-US" w:eastAsia="zh-CN" w:bidi="ar-SA"/>
        </w:rPr>
      </w:pPr>
      <w:r>
        <w:rPr>
          <w:rFonts w:hint="eastAsia" w:ascii="仿宋_GB2312" w:hAnsi="仿宋" w:eastAsia="仿宋_GB2312" w:cs="仿宋"/>
          <w:b w:val="0"/>
          <w:bCs w:val="0"/>
          <w:kern w:val="0"/>
          <w:sz w:val="32"/>
          <w:szCs w:val="32"/>
          <w:lang w:val="en-US" w:eastAsia="zh-CN" w:bidi="ar-SA"/>
        </w:rPr>
        <w:t>我单位成立预算绩效管理工作领导小组，明确已局长负总责、分管领导牵头、财务分工落实，压实主体责任，落实“谁使用资金、谁负责绩效”。组织财务、项目经办人员开展绩效业务培训，学习绩效指标设置、自评填报、资料归档等实操内容，强化全员绩效意识。按要求开展绩效自评，做到全覆盖。规范收集台账、合同、验收材料、满意度资料，客观打分、如实撰写自评报告，做到数据可溯源、佐证充分。配合财务开展重点绩效评价，及时落实评价反馈问题整改。落实绩效评价结果刚性应用，将绩效自评、财政评价结果作为下一年度预算安排、项目调整、政策优化的重要依据。</w:t>
      </w:r>
    </w:p>
    <w:p w14:paraId="5A486A3D">
      <w:pPr>
        <w:pStyle w:val="3"/>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rFonts w:ascii="Times New Roman" w:hAnsi="Times New Roman" w:eastAsia="Times New Roman"/>
          <w:b/>
          <w:bCs w:val="0"/>
          <w:kern w:val="0"/>
          <w:sz w:val="44"/>
          <w:szCs w:val="44"/>
        </w:rPr>
      </w:pPr>
      <w:r>
        <w:rPr>
          <w:rFonts w:ascii="方正小标宋简体" w:hAnsi="方正小标宋简体" w:eastAsia="方正小标宋简体" w:cs="方正小标宋简体"/>
          <w:b/>
          <w:bCs w:val="0"/>
          <w:kern w:val="0"/>
          <w:sz w:val="44"/>
          <w:szCs w:val="44"/>
        </w:rPr>
        <w:t>第三部分</w:t>
      </w:r>
      <w:r>
        <w:rPr>
          <w:rFonts w:hint="eastAsia" w:ascii="Times New Roman" w:hAnsi="Times New Roman" w:eastAsia="宋体"/>
          <w:b/>
          <w:bCs w:val="0"/>
          <w:kern w:val="0"/>
          <w:sz w:val="44"/>
          <w:szCs w:val="44"/>
          <w:lang w:val="en-US" w:eastAsia="zh-CN"/>
        </w:rPr>
        <w:t xml:space="preserve"> </w:t>
      </w:r>
      <w:r>
        <w:rPr>
          <w:rFonts w:ascii="方正小标宋简体" w:hAnsi="方正小标宋简体" w:eastAsia="方正小标宋简体" w:cs="方正小标宋简体"/>
          <w:b/>
          <w:bCs w:val="0"/>
          <w:kern w:val="0"/>
          <w:sz w:val="44"/>
          <w:szCs w:val="44"/>
        </w:rPr>
        <w:t>名词解释</w:t>
      </w:r>
    </w:p>
    <w:p w14:paraId="50B8F265">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eastAsia="Times New Roman"/>
          <w:kern w:val="0"/>
          <w:sz w:val="24"/>
        </w:rPr>
      </w:pPr>
      <w:r>
        <w:rPr>
          <w:rFonts w:hint="eastAsia" w:ascii="楷体_GB2312" w:hAnsi="仿宋" w:eastAsia="楷体_GB2312" w:cs="仿宋"/>
          <w:b/>
          <w:bCs/>
          <w:kern w:val="0"/>
          <w:sz w:val="32"/>
          <w:szCs w:val="32"/>
        </w:rPr>
        <w:t>一、财政拨款收入：</w:t>
      </w:r>
      <w:r>
        <w:rPr>
          <w:rFonts w:hint="eastAsia" w:ascii="仿宋_GB2312" w:hAnsi="仿宋" w:eastAsia="仿宋_GB2312" w:cs="仿宋"/>
          <w:kern w:val="0"/>
          <w:sz w:val="32"/>
          <w:szCs w:val="32"/>
        </w:rPr>
        <w:t>从同级财政部门取得的各类财政拨款，包括一般公共预算财政拨款、政府性基金预算财政拨款、国有资本经营预算财政拨款。</w:t>
      </w:r>
    </w:p>
    <w:p w14:paraId="6C3B78C1">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kern w:val="0"/>
          <w:sz w:val="32"/>
          <w:szCs w:val="32"/>
          <w:lang w:val="en-US" w:eastAsia="zh-CN"/>
        </w:rPr>
        <w:t>二</w:t>
      </w:r>
      <w:r>
        <w:rPr>
          <w:rFonts w:hint="eastAsia" w:ascii="仿宋_GB2312" w:hAnsi="仿宋" w:eastAsia="仿宋_GB2312" w:cs="仿宋"/>
          <w:b/>
          <w:bCs/>
          <w:kern w:val="0"/>
          <w:sz w:val="32"/>
          <w:szCs w:val="32"/>
        </w:rPr>
        <w:t>、年初结转和结余：</w:t>
      </w:r>
      <w:r>
        <w:rPr>
          <w:rFonts w:hint="eastAsia" w:ascii="仿宋_GB2312" w:hAnsi="仿宋" w:eastAsia="仿宋_GB2312" w:cs="仿宋"/>
          <w:kern w:val="0"/>
          <w:sz w:val="32"/>
          <w:szCs w:val="32"/>
        </w:rPr>
        <w:t>指单位上年结转本年使用的基本支出结转、项目支出结转和结余、经营结余。</w:t>
      </w:r>
    </w:p>
    <w:p w14:paraId="26CDC714">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kern w:val="0"/>
          <w:sz w:val="32"/>
          <w:szCs w:val="32"/>
          <w:lang w:val="en-US" w:eastAsia="zh-CN"/>
        </w:rPr>
        <w:t>三</w:t>
      </w:r>
      <w:r>
        <w:rPr>
          <w:rFonts w:hint="eastAsia" w:ascii="仿宋_GB2312" w:hAnsi="仿宋" w:eastAsia="仿宋_GB2312" w:cs="仿宋"/>
          <w:b/>
          <w:bCs/>
          <w:kern w:val="0"/>
          <w:sz w:val="32"/>
          <w:szCs w:val="32"/>
        </w:rPr>
        <w:t>、年末结转和结余资金：</w:t>
      </w:r>
      <w:r>
        <w:rPr>
          <w:rFonts w:hint="eastAsia" w:ascii="仿宋_GB2312" w:hAnsi="仿宋" w:eastAsia="仿宋_GB2312" w:cs="仿宋"/>
          <w:kern w:val="0"/>
          <w:sz w:val="32"/>
          <w:szCs w:val="32"/>
        </w:rPr>
        <w:t>指单位结转下年的基本支出结转、项目支出结转和结余、经营结余。</w:t>
      </w:r>
    </w:p>
    <w:p w14:paraId="281972C6">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kern w:val="0"/>
          <w:sz w:val="32"/>
          <w:szCs w:val="32"/>
          <w:lang w:val="en-US" w:eastAsia="zh-CN"/>
        </w:rPr>
        <w:t>四</w:t>
      </w:r>
      <w:r>
        <w:rPr>
          <w:rFonts w:hint="eastAsia" w:ascii="仿宋_GB2312" w:hAnsi="仿宋" w:eastAsia="仿宋_GB2312" w:cs="仿宋"/>
          <w:b/>
          <w:bCs/>
          <w:kern w:val="0"/>
          <w:sz w:val="32"/>
          <w:szCs w:val="32"/>
        </w:rPr>
        <w:t>、基本支出：</w:t>
      </w:r>
      <w:r>
        <w:rPr>
          <w:rFonts w:hint="eastAsia" w:ascii="仿宋_GB2312" w:hAnsi="仿宋" w:eastAsia="仿宋_GB2312" w:cs="仿宋"/>
          <w:kern w:val="0"/>
          <w:sz w:val="32"/>
          <w:szCs w:val="32"/>
        </w:rPr>
        <w:t>指为保障机构正常运转、完成日常工作任务所发生的支出，包括人员经费和公用经费。</w:t>
      </w:r>
    </w:p>
    <w:p w14:paraId="17873737">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color w:val="000000"/>
          <w:kern w:val="0"/>
          <w:sz w:val="32"/>
          <w:szCs w:val="32"/>
          <w:lang w:val="en-US" w:eastAsia="zh-CN"/>
        </w:rPr>
        <w:t>五</w:t>
      </w:r>
      <w:r>
        <w:rPr>
          <w:rFonts w:hint="eastAsia" w:ascii="仿宋_GB2312" w:hAnsi="仿宋" w:eastAsia="仿宋_GB2312" w:cs="仿宋"/>
          <w:b/>
          <w:bCs/>
          <w:color w:val="000000"/>
          <w:kern w:val="0"/>
          <w:sz w:val="32"/>
          <w:szCs w:val="32"/>
        </w:rPr>
        <w:t>、项目支出：</w:t>
      </w:r>
      <w:r>
        <w:rPr>
          <w:rFonts w:hint="eastAsia" w:ascii="仿宋_GB2312" w:hAnsi="仿宋" w:eastAsia="仿宋_GB2312" w:cs="仿宋"/>
          <w:color w:val="000000"/>
          <w:kern w:val="0"/>
          <w:sz w:val="32"/>
          <w:szCs w:val="32"/>
        </w:rPr>
        <w:t>指单位为完成特定的行政工作任务或事业发展目标，在基本支出之外发生的各项支出。</w:t>
      </w:r>
    </w:p>
    <w:p w14:paraId="61D13434">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kern w:val="0"/>
          <w:sz w:val="32"/>
          <w:szCs w:val="32"/>
        </w:rPr>
        <w:t>六、“三公”经费：</w:t>
      </w:r>
      <w:r>
        <w:rPr>
          <w:rFonts w:hint="eastAsia" w:ascii="仿宋_GB2312" w:hAnsi="仿宋" w:eastAsia="仿宋_GB2312" w:cs="仿宋"/>
          <w:kern w:val="0"/>
          <w:sz w:val="32"/>
          <w:szCs w:val="32"/>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w:t>
      </w:r>
      <w:r>
        <w:rPr>
          <w:rFonts w:hint="eastAsia" w:ascii="仿宋_GB2312" w:hAnsi="仿宋" w:eastAsia="仿宋_GB2312" w:cs="仿宋"/>
          <w:color w:val="000000"/>
          <w:kern w:val="0"/>
          <w:sz w:val="32"/>
          <w:szCs w:val="32"/>
        </w:rPr>
        <w:t>新能源汽车充电费、</w:t>
      </w:r>
      <w:r>
        <w:rPr>
          <w:rFonts w:hint="eastAsia" w:ascii="仿宋_GB2312" w:hAnsi="仿宋" w:eastAsia="仿宋_GB2312" w:cs="仿宋"/>
          <w:kern w:val="0"/>
          <w:sz w:val="32"/>
          <w:szCs w:val="32"/>
        </w:rPr>
        <w:t>维修费、过路过桥费、保险费、安全奖励费用等支出；公务接待费反映部门（单位）按规定开支的各类公务接待（含外宾接待）费用。</w:t>
      </w:r>
    </w:p>
    <w:p w14:paraId="0F317C3A">
      <w:pPr>
        <w:pStyle w:val="29"/>
        <w:keepNext w:val="0"/>
        <w:keepLines w:val="0"/>
        <w:pageBreakBefore w:val="0"/>
        <w:widowControl/>
        <w:kinsoku/>
        <w:wordWrap/>
        <w:overflowPunct/>
        <w:topLinePunct w:val="0"/>
        <w:autoSpaceDE/>
        <w:autoSpaceDN/>
        <w:bidi w:val="0"/>
        <w:adjustRightInd/>
        <w:snapToGrid/>
        <w:spacing w:before="240" w:after="240" w:line="560" w:lineRule="exact"/>
        <w:ind w:firstLine="643" w:firstLineChars="200"/>
        <w:jc w:val="both"/>
        <w:textAlignment w:val="auto"/>
        <w:rPr>
          <w:rFonts w:ascii="仿宋_GB2312" w:eastAsia="仿宋_GB2312"/>
          <w:kern w:val="0"/>
          <w:sz w:val="24"/>
        </w:rPr>
      </w:pPr>
      <w:r>
        <w:rPr>
          <w:rFonts w:hint="eastAsia" w:ascii="仿宋_GB2312" w:hAnsi="仿宋" w:eastAsia="仿宋_GB2312" w:cs="仿宋"/>
          <w:b/>
          <w:bCs/>
          <w:kern w:val="0"/>
          <w:sz w:val="32"/>
          <w:szCs w:val="32"/>
        </w:rPr>
        <w:t>七、机关运行经费：</w:t>
      </w:r>
      <w:r>
        <w:rPr>
          <w:rFonts w:hint="eastAsia" w:ascii="仿宋_GB2312" w:hAnsi="仿宋" w:eastAsia="仿宋_GB2312" w:cs="仿宋"/>
          <w:kern w:val="0"/>
          <w:sz w:val="32"/>
          <w:szCs w:val="32"/>
        </w:rPr>
        <w:t>指行政单位和参照公务员法管理的事业单位财政拨款基本支出中的公用经费支出。</w:t>
      </w:r>
    </w:p>
    <w:p w14:paraId="16DB1BBD">
      <w:pPr>
        <w:keepNext w:val="0"/>
        <w:keepLines w:val="0"/>
        <w:pageBreakBefore w:val="0"/>
        <w:widowControl/>
        <w:kinsoku/>
        <w:wordWrap/>
        <w:overflowPunct/>
        <w:topLinePunct w:val="0"/>
        <w:autoSpaceDE/>
        <w:autoSpaceDN/>
        <w:bidi w:val="0"/>
        <w:adjustRightInd/>
        <w:snapToGrid/>
        <w:spacing w:before="240" w:after="240"/>
        <w:jc w:val="both"/>
        <w:textAlignment w:val="auto"/>
        <w:rPr>
          <w:rFonts w:eastAsia="Times New Roman"/>
          <w:kern w:val="0"/>
          <w:sz w:val="24"/>
        </w:rPr>
      </w:pPr>
    </w:p>
    <w:p w14:paraId="00C23D07">
      <w:pPr>
        <w:pStyle w:val="3"/>
        <w:keepNext w:val="0"/>
        <w:keepLines w:val="0"/>
        <w:pageBreakBefore w:val="0"/>
        <w:widowControl/>
        <w:numPr>
          <w:ilvl w:val="0"/>
          <w:numId w:val="0"/>
        </w:numPr>
        <w:kinsoku/>
        <w:wordWrap/>
        <w:overflowPunct/>
        <w:topLinePunct w:val="0"/>
        <w:autoSpaceDE/>
        <w:autoSpaceDN/>
        <w:bidi w:val="0"/>
        <w:adjustRightInd/>
        <w:snapToGrid/>
        <w:spacing w:before="299" w:after="299" w:line="240" w:lineRule="auto"/>
        <w:jc w:val="center"/>
        <w:textAlignment w:val="auto"/>
      </w:pPr>
      <w:r>
        <w:rPr>
          <w:rFonts w:hint="eastAsia" w:ascii="方正公文小标宋" w:hAnsi="方正公文小标宋" w:eastAsia="方正公文小标宋" w:cs="fang_zheng_xiao_biao_song_ti"/>
          <w:b w:val="0"/>
          <w:bCs/>
          <w:kern w:val="0"/>
          <w:sz w:val="44"/>
          <w:szCs w:val="44"/>
          <w:lang w:val="en-US" w:eastAsia="zh-CN" w:bidi="ar-SA"/>
        </w:rPr>
        <w:t xml:space="preserve">第四部分 </w:t>
      </w:r>
      <w:r>
        <w:rPr>
          <w:rFonts w:ascii="方正公文小标宋" w:hAnsi="方正公文小标宋" w:eastAsia="方正公文小标宋" w:cs="fang_zheng_xiao_biao_song_ti"/>
          <w:b w:val="0"/>
          <w:kern w:val="0"/>
          <w:sz w:val="44"/>
          <w:szCs w:val="44"/>
        </w:rPr>
        <w:t>决算公开联系方式及信息反馈渠道</w:t>
      </w:r>
    </w:p>
    <w:p w14:paraId="771DE56B">
      <w:pPr>
        <w:pStyle w:val="29"/>
        <w:keepNext w:val="0"/>
        <w:keepLines w:val="0"/>
        <w:pageBreakBefore w:val="0"/>
        <w:widowControl/>
        <w:kinsoku/>
        <w:wordWrap/>
        <w:overflowPunct/>
        <w:topLinePunct w:val="0"/>
        <w:autoSpaceDE/>
        <w:autoSpaceDN/>
        <w:bidi w:val="0"/>
        <w:adjustRightInd/>
        <w:snapToGrid/>
        <w:spacing w:before="240" w:after="240" w:line="560" w:lineRule="atLeas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单位决算公开信息反馈和联系方式：</w:t>
      </w:r>
    </w:p>
    <w:p w14:paraId="6DE5C842">
      <w:pPr>
        <w:pStyle w:val="29"/>
        <w:keepNext w:val="0"/>
        <w:keepLines w:val="0"/>
        <w:pageBreakBefore w:val="0"/>
        <w:widowControl/>
        <w:kinsoku/>
        <w:wordWrap/>
        <w:overflowPunct/>
        <w:topLinePunct w:val="0"/>
        <w:autoSpaceDE/>
        <w:autoSpaceDN/>
        <w:bidi w:val="0"/>
        <w:adjustRightInd/>
        <w:snapToGrid/>
        <w:spacing w:before="240" w:after="240" w:line="560" w:lineRule="atLeast"/>
        <w:ind w:firstLine="640" w:firstLineChars="200"/>
        <w:jc w:val="both"/>
        <w:textAlignment w:val="auto"/>
        <w:rPr>
          <w:rFonts w:ascii="仿宋_GB2312" w:eastAsia="仿宋_GB2312"/>
          <w:kern w:val="0"/>
          <w:sz w:val="24"/>
        </w:rPr>
      </w:pPr>
      <w:r>
        <w:rPr>
          <w:rFonts w:hint="eastAsia" w:ascii="仿宋_GB2312" w:hAnsi="仿宋" w:eastAsia="仿宋_GB2312" w:cs="仿宋"/>
          <w:kern w:val="0"/>
          <w:sz w:val="32"/>
          <w:szCs w:val="32"/>
        </w:rPr>
        <w:t>联系人：孙松</w:t>
      </w:r>
      <w:r>
        <w:rPr>
          <w:rFonts w:hint="eastAsia" w:ascii="仿宋_GB2312"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eastAsia="仿宋_GB2312"/>
          <w:kern w:val="0"/>
          <w:sz w:val="32"/>
          <w:szCs w:val="32"/>
        </w:rPr>
        <w:t xml:space="preserve"> </w:t>
      </w:r>
      <w:r>
        <w:rPr>
          <w:rFonts w:hint="eastAsia" w:eastAsia="仿宋_GB2312"/>
          <w:kern w:val="0"/>
          <w:sz w:val="32"/>
          <w:szCs w:val="32"/>
          <w:lang w:val="en-US" w:eastAsia="zh-CN"/>
        </w:rPr>
        <w:t xml:space="preserve"> </w:t>
      </w:r>
      <w:r>
        <w:rPr>
          <w:rFonts w:hint="eastAsia" w:ascii="仿宋_GB2312" w:hAnsi="仿宋" w:eastAsia="仿宋_GB2312" w:cs="仿宋"/>
          <w:kern w:val="0"/>
          <w:sz w:val="32"/>
          <w:szCs w:val="32"/>
        </w:rPr>
        <w:t>联系电话：0470-5927717</w:t>
      </w:r>
    </w:p>
    <w:p w14:paraId="2A1511A5">
      <w:pPr>
        <w:keepNext w:val="0"/>
        <w:keepLines w:val="0"/>
        <w:pageBreakBefore w:val="0"/>
        <w:widowControl/>
        <w:kinsoku/>
        <w:wordWrap/>
        <w:overflowPunct/>
        <w:topLinePunct w:val="0"/>
        <w:autoSpaceDE/>
        <w:autoSpaceDN/>
        <w:bidi w:val="0"/>
        <w:adjustRightInd/>
        <w:snapToGrid/>
        <w:spacing w:before="240" w:after="240"/>
        <w:jc w:val="both"/>
        <w:textAlignment w:val="auto"/>
        <w:rPr>
          <w:rFonts w:eastAsia="Times New Roman"/>
          <w:kern w:val="0"/>
          <w:sz w:val="24"/>
        </w:rPr>
      </w:pPr>
    </w:p>
    <w:p w14:paraId="4B97918C">
      <w:pPr>
        <w:pStyle w:val="3"/>
        <w:keepNext w:val="0"/>
        <w:keepLines w:val="0"/>
        <w:pageBreakBefore w:val="0"/>
        <w:widowControl/>
        <w:kinsoku/>
        <w:wordWrap/>
        <w:overflowPunct/>
        <w:topLinePunct w:val="0"/>
        <w:autoSpaceDE/>
        <w:autoSpaceDN/>
        <w:bidi w:val="0"/>
        <w:adjustRightInd/>
        <w:snapToGrid/>
        <w:spacing w:before="299" w:after="299" w:line="240" w:lineRule="auto"/>
        <w:jc w:val="center"/>
        <w:textAlignment w:val="auto"/>
        <w:rPr>
          <w:rFonts w:ascii="方正公文小标宋" w:hAnsi="方正公文小标宋" w:eastAsia="方正公文小标宋"/>
          <w:b w:val="0"/>
          <w:kern w:val="0"/>
          <w:sz w:val="44"/>
          <w:szCs w:val="44"/>
        </w:rPr>
      </w:pPr>
      <w:r>
        <w:rPr>
          <w:rFonts w:ascii="方正公文小标宋" w:hAnsi="方正公文小标宋" w:eastAsia="方正公文小标宋" w:cs="fang_zheng_xiao_biao_song_ti"/>
          <w:b w:val="0"/>
          <w:kern w:val="0"/>
          <w:sz w:val="44"/>
          <w:szCs w:val="44"/>
        </w:rPr>
        <w:t>第五部分</w:t>
      </w:r>
      <w:r>
        <w:rPr>
          <w:rFonts w:hint="eastAsia" w:ascii="Times New Roman" w:hAnsi="Times New Roman" w:eastAsia="方正公文小标宋"/>
          <w:b w:val="0"/>
          <w:kern w:val="0"/>
          <w:sz w:val="44"/>
          <w:szCs w:val="44"/>
          <w:lang w:val="en-US" w:eastAsia="zh-CN"/>
        </w:rPr>
        <w:t xml:space="preserve"> </w:t>
      </w:r>
      <w:r>
        <w:rPr>
          <w:rFonts w:ascii="方正公文小标宋" w:hAnsi="方正公文小标宋" w:eastAsia="方正公文小标宋" w:cs="fang_zheng_xiao_biao_song_ti"/>
          <w:b w:val="0"/>
          <w:kern w:val="0"/>
          <w:sz w:val="44"/>
          <w:szCs w:val="44"/>
        </w:rPr>
        <w:t>单位决算表</w:t>
      </w:r>
    </w:p>
    <w:p w14:paraId="7EC6268C">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一、收入支出决算总表</w:t>
      </w:r>
    </w:p>
    <w:p w14:paraId="4DFB227C">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二、收入决算表</w:t>
      </w:r>
    </w:p>
    <w:p w14:paraId="59A09E76">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三、支出决算表</w:t>
      </w:r>
    </w:p>
    <w:p w14:paraId="66914CF6">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四、财政拨款收入支出决算总表</w:t>
      </w:r>
    </w:p>
    <w:p w14:paraId="146D6709">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五、一般公共预算财政拨款支出决算表</w:t>
      </w:r>
    </w:p>
    <w:p w14:paraId="514392AF">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六、一般公共预算财政拨款基本支出决算明细表</w:t>
      </w:r>
    </w:p>
    <w:p w14:paraId="12F7922B">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七、一般公共预算财政拨款项目支出决算明细表</w:t>
      </w:r>
    </w:p>
    <w:p w14:paraId="2C7D3CBF">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八、政府性基金预算财政拨款收入支出决算表</w:t>
      </w:r>
    </w:p>
    <w:p w14:paraId="237142ED">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九、国有资本经营预算财政拨款收入支出决算表</w:t>
      </w:r>
    </w:p>
    <w:p w14:paraId="1FEC2D1E">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十、财政拨款“三公”经费支出决算表</w:t>
      </w:r>
    </w:p>
    <w:p w14:paraId="01A211D3">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eastAsia="Times New Roman" w:cs="Times New Roman"/>
          <w:kern w:val="0"/>
          <w:sz w:val="32"/>
          <w:szCs w:val="32"/>
        </w:rPr>
      </w:pPr>
      <w:r>
        <w:rPr>
          <w:rFonts w:hint="default" w:ascii="Times New Roman" w:hAnsi="Times New Roman" w:eastAsia="仿宋_GB2312" w:cs="Times New Roman"/>
          <w:kern w:val="0"/>
          <w:sz w:val="32"/>
          <w:szCs w:val="32"/>
        </w:rPr>
        <w:t>十一、机关运行经费支出、国有资产占用情况及政府采购支出信息表</w:t>
      </w:r>
    </w:p>
    <w:p w14:paraId="13C362BE">
      <w:pPr>
        <w:keepNext w:val="0"/>
        <w:keepLines w:val="0"/>
        <w:pageBreakBefore w:val="0"/>
        <w:widowControl/>
        <w:kinsoku/>
        <w:wordWrap/>
        <w:overflowPunct/>
        <w:topLinePunct w:val="0"/>
        <w:autoSpaceDE/>
        <w:autoSpaceDN/>
        <w:bidi w:val="0"/>
        <w:adjustRightInd/>
        <w:snapToGrid/>
        <w:spacing w:before="240" w:after="240" w:line="560" w:lineRule="exact"/>
        <w:jc w:val="both"/>
        <w:textAlignment w:val="auto"/>
        <w:rPr>
          <w:rFonts w:hint="default" w:ascii="Times New Roman" w:hAnsi="Times New Roman" w:eastAsia="黑体" w:cs="Times New Roman"/>
          <w:kern w:val="0"/>
          <w:sz w:val="32"/>
          <w:szCs w:val="32"/>
          <w:lang w:val="en-US" w:eastAsia="zh-CN"/>
        </w:rPr>
      </w:pPr>
    </w:p>
    <w:p w14:paraId="383B648C">
      <w:pPr>
        <w:keepNext w:val="0"/>
        <w:keepLines w:val="0"/>
        <w:pageBreakBefore w:val="0"/>
        <w:widowControl/>
        <w:kinsoku/>
        <w:wordWrap/>
        <w:overflowPunct/>
        <w:topLinePunct w:val="0"/>
        <w:autoSpaceDE/>
        <w:autoSpaceDN/>
        <w:bidi w:val="0"/>
        <w:adjustRightInd/>
        <w:snapToGrid/>
        <w:spacing w:before="240" w:after="240" w:line="560" w:lineRule="exact"/>
        <w:jc w:val="both"/>
        <w:textAlignment w:val="auto"/>
        <w:rPr>
          <w:rFonts w:hint="default" w:ascii="Times New Roman" w:hAnsi="Times New Roman" w:cs="Times New Roman"/>
          <w:kern w:val="0"/>
          <w:sz w:val="24"/>
          <w:lang w:val="en-US" w:eastAsia="zh-CN"/>
        </w:rPr>
      </w:pPr>
      <w:r>
        <w:rPr>
          <w:rFonts w:hint="default" w:ascii="Times New Roman" w:hAnsi="Times New Roman" w:eastAsia="黑体" w:cs="Times New Roman"/>
          <w:kern w:val="0"/>
          <w:sz w:val="32"/>
          <w:szCs w:val="32"/>
          <w:lang w:val="en-US" w:eastAsia="zh-CN"/>
        </w:rPr>
        <w:t>备注</w:t>
      </w:r>
      <w:r>
        <w:rPr>
          <w:rFonts w:hint="default" w:ascii="Times New Roman" w:hAnsi="Times New Roman" w:cs="Times New Roman"/>
          <w:kern w:val="0"/>
          <w:sz w:val="24"/>
          <w:lang w:val="en-US" w:eastAsia="zh-CN"/>
        </w:rPr>
        <w:t>：</w:t>
      </w:r>
    </w:p>
    <w:p w14:paraId="6773311B">
      <w:pPr>
        <w:keepNext w:val="0"/>
        <w:keepLines w:val="0"/>
        <w:pageBreakBefore w:val="0"/>
        <w:widowControl/>
        <w:kinsoku/>
        <w:wordWrap/>
        <w:overflowPunct/>
        <w:topLinePunct w:val="0"/>
        <w:autoSpaceDE/>
        <w:autoSpaceDN/>
        <w:bidi w:val="0"/>
        <w:adjustRightInd/>
        <w:snapToGrid/>
        <w:spacing w:before="240" w:after="240" w:line="560" w:lineRule="exact"/>
        <w:ind w:firstLine="640" w:firstLineChars="200"/>
        <w:jc w:val="both"/>
        <w:textAlignment w:val="auto"/>
      </w:pPr>
      <w:r>
        <w:rPr>
          <w:rFonts w:hint="default" w:ascii="Times New Roman" w:hAnsi="Times New Roman" w:eastAsia="仿宋_GB2312" w:cs="Times New Roman"/>
          <w:kern w:val="0"/>
          <w:sz w:val="32"/>
          <w:szCs w:val="32"/>
          <w:lang w:val="en-US" w:eastAsia="zh-CN"/>
        </w:rPr>
        <w:t>按决算公开编制要求，决算公开报告及公开表的计数单位为万元，而202</w:t>
      </w:r>
      <w:r>
        <w:rPr>
          <w:rFonts w:hint="eastAsia" w:eastAsia="仿宋_GB2312" w:cs="Times New Roman"/>
          <w:kern w:val="0"/>
          <w:sz w:val="32"/>
          <w:szCs w:val="32"/>
          <w:lang w:val="en-US" w:eastAsia="zh-CN"/>
        </w:rPr>
        <w:t>5</w:t>
      </w:r>
      <w:r>
        <w:rPr>
          <w:rFonts w:hint="default" w:ascii="Times New Roman" w:hAnsi="Times New Roman" w:eastAsia="仿宋_GB2312" w:cs="Times New Roman"/>
          <w:kern w:val="0"/>
          <w:sz w:val="32"/>
          <w:szCs w:val="32"/>
          <w:lang w:val="en-US" w:eastAsia="zh-CN"/>
        </w:rPr>
        <w:t>年决算编制是以元为计数单位，因此小数点后二位存在四舍五入的差异。</w:t>
      </w:r>
      <w:bookmarkEnd w:id="0"/>
    </w:p>
    <w:sectPr>
      <w:footerReference r:id="rId4" w:type="default"/>
      <w:pgSz w:w="11906" w:h="16838"/>
      <w:pgMar w:top="1440" w:right="1803" w:bottom="1440" w:left="1803" w:header="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FACDF9-ED22-41FC-97AB-33186FB120BA}"/>
  </w:font>
  <w:font w:name="黑体">
    <w:panose1 w:val="02010609060101010101"/>
    <w:charset w:val="86"/>
    <w:family w:val="auto"/>
    <w:pitch w:val="default"/>
    <w:sig w:usb0="800002BF" w:usb1="38CF7CFA" w:usb2="00000016" w:usb3="00000000" w:csb0="00040001" w:csb1="00000000"/>
    <w:embedRegular r:id="rId2" w:fontKey="{31A768EF-3AB8-4659-A1C8-B049723310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21FC7331-0C84-44C5-B45F-21F1E1F5CDCD}"/>
  </w:font>
  <w:font w:name="仿宋">
    <w:panose1 w:val="02010609060101010101"/>
    <w:charset w:val="86"/>
    <w:family w:val="modern"/>
    <w:pitch w:val="default"/>
    <w:sig w:usb0="800002BF" w:usb1="38CF7CFA" w:usb2="00000016" w:usb3="00000000" w:csb0="00040001" w:csb1="00000000"/>
    <w:embedRegular r:id="rId4" w:fontKey="{3330F58A-99B1-4472-9CCD-7A3119FE6C63}"/>
  </w:font>
  <w:font w:name="方正小标宋简体">
    <w:panose1 w:val="02000000000000000000"/>
    <w:charset w:val="86"/>
    <w:family w:val="script"/>
    <w:pitch w:val="default"/>
    <w:sig w:usb0="00000001" w:usb1="08000000" w:usb2="00000000" w:usb3="00000000" w:csb0="00040000" w:csb1="00000000"/>
    <w:embedRegular r:id="rId5" w:fontKey="{D95F8F66-28A5-49C0-AA3B-BC486FF579FC}"/>
  </w:font>
  <w:font w:name="楷体_GB2312">
    <w:altName w:val="楷体"/>
    <w:panose1 w:val="02010609030101010101"/>
    <w:charset w:val="86"/>
    <w:family w:val="modern"/>
    <w:pitch w:val="default"/>
    <w:sig w:usb0="00000000" w:usb1="00000000" w:usb2="00000010" w:usb3="00000000" w:csb0="00040000" w:csb1="00000000"/>
    <w:embedRegular r:id="rId6" w:fontKey="{D2D984F1-1EEC-47A8-AE51-29EA9CCAE489}"/>
  </w:font>
  <w:font w:name="楷体">
    <w:panose1 w:val="02010609060101010101"/>
    <w:charset w:val="86"/>
    <w:family w:val="roman"/>
    <w:pitch w:val="default"/>
    <w:sig w:usb0="800002BF" w:usb1="38CF7CFA" w:usb2="00000016" w:usb3="00000000" w:csb0="00040001" w:csb1="00000000"/>
    <w:embedRegular r:id="rId7" w:fontKey="{B87A5355-9782-43B9-A903-C40FBF1F81E0}"/>
  </w:font>
  <w:font w:name="times_new_roman">
    <w:altName w:val="Times New Roman"/>
    <w:panose1 w:val="00000000000000000000"/>
    <w:charset w:val="00"/>
    <w:family w:val="roman"/>
    <w:pitch w:val="default"/>
    <w:sig w:usb0="00000000" w:usb1="00000000" w:usb2="00000000" w:usb3="00000000" w:csb0="00000000" w:csb1="00000000"/>
    <w:embedRegular r:id="rId8" w:fontKey="{EF1D0256-6AFB-4B37-A85F-72C435A20BCD}"/>
  </w:font>
  <w:font w:name="方正公文小标宋">
    <w:panose1 w:val="02000500000000000000"/>
    <w:charset w:val="86"/>
    <w:family w:val="auto"/>
    <w:pitch w:val="default"/>
    <w:sig w:usb0="A00002BF" w:usb1="38CF7CFA" w:usb2="00000016" w:usb3="00000000" w:csb0="00040001" w:csb1="00000000"/>
    <w:embedRegular r:id="rId9" w:fontKey="{69A0ECD2-9791-4DB2-A59D-5EF866848B53}"/>
  </w:font>
  <w:font w:name="fang_zheng_xiao_biao_song_ti">
    <w:altName w:val="Times New Roman"/>
    <w:panose1 w:val="00000000000000000000"/>
    <w:charset w:val="00"/>
    <w:family w:val="roman"/>
    <w:pitch w:val="default"/>
    <w:sig w:usb0="00000000" w:usb1="00000000" w:usb2="00000000" w:usb3="00000000" w:csb0="00000000" w:csb1="00000000"/>
    <w:embedRegular r:id="rId10" w:fontKey="{8342D049-5770-4999-832F-228B42220CFC}"/>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F3BA9">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86A5C">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w:t>
    </w:r>
    <w:r>
      <w:rPr>
        <w:rFonts w:ascii="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D15216"/>
    <w:multiLevelType w:val="singleLevel"/>
    <w:tmpl w:val="4CD1521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2"/>
    <w:rsid w:val="00041CE0"/>
    <w:rsid w:val="00062580"/>
    <w:rsid w:val="00077295"/>
    <w:rsid w:val="000A7C57"/>
    <w:rsid w:val="000C1A04"/>
    <w:rsid w:val="000F7004"/>
    <w:rsid w:val="00162889"/>
    <w:rsid w:val="00175CC8"/>
    <w:rsid w:val="001A43F8"/>
    <w:rsid w:val="001F449B"/>
    <w:rsid w:val="002077C1"/>
    <w:rsid w:val="002147C1"/>
    <w:rsid w:val="003457A1"/>
    <w:rsid w:val="003978D5"/>
    <w:rsid w:val="003E2E87"/>
    <w:rsid w:val="003E501D"/>
    <w:rsid w:val="00406DD1"/>
    <w:rsid w:val="00436F1D"/>
    <w:rsid w:val="004D497D"/>
    <w:rsid w:val="005009BC"/>
    <w:rsid w:val="00527893"/>
    <w:rsid w:val="00534E42"/>
    <w:rsid w:val="00554F82"/>
    <w:rsid w:val="00563F58"/>
    <w:rsid w:val="00573918"/>
    <w:rsid w:val="0062535A"/>
    <w:rsid w:val="006561E0"/>
    <w:rsid w:val="0071193B"/>
    <w:rsid w:val="0077355E"/>
    <w:rsid w:val="007824DB"/>
    <w:rsid w:val="00784DD4"/>
    <w:rsid w:val="007A672F"/>
    <w:rsid w:val="007A79CC"/>
    <w:rsid w:val="008C1705"/>
    <w:rsid w:val="0090757A"/>
    <w:rsid w:val="00940DA6"/>
    <w:rsid w:val="009723DF"/>
    <w:rsid w:val="00996B62"/>
    <w:rsid w:val="009C08A2"/>
    <w:rsid w:val="009E3BFE"/>
    <w:rsid w:val="00A30D54"/>
    <w:rsid w:val="00A542BE"/>
    <w:rsid w:val="00AB4C5A"/>
    <w:rsid w:val="00B32BC5"/>
    <w:rsid w:val="00B869B9"/>
    <w:rsid w:val="00B87411"/>
    <w:rsid w:val="00BC1D86"/>
    <w:rsid w:val="00C248D4"/>
    <w:rsid w:val="00C35198"/>
    <w:rsid w:val="00C547B8"/>
    <w:rsid w:val="00D10918"/>
    <w:rsid w:val="00D30DC6"/>
    <w:rsid w:val="00D46347"/>
    <w:rsid w:val="00D83A8D"/>
    <w:rsid w:val="00DC56C0"/>
    <w:rsid w:val="00DC7B5D"/>
    <w:rsid w:val="00E051C3"/>
    <w:rsid w:val="00E31AD0"/>
    <w:rsid w:val="00E6071B"/>
    <w:rsid w:val="00F220F0"/>
    <w:rsid w:val="00F24B81"/>
    <w:rsid w:val="00F60397"/>
    <w:rsid w:val="06447090"/>
    <w:rsid w:val="06C54CB0"/>
    <w:rsid w:val="06CA2FAE"/>
    <w:rsid w:val="0DFE30D9"/>
    <w:rsid w:val="16B63870"/>
    <w:rsid w:val="23005595"/>
    <w:rsid w:val="23575F36"/>
    <w:rsid w:val="244B0A92"/>
    <w:rsid w:val="269A360B"/>
    <w:rsid w:val="2D205CD2"/>
    <w:rsid w:val="2F405C79"/>
    <w:rsid w:val="343A3B05"/>
    <w:rsid w:val="34784133"/>
    <w:rsid w:val="43147FD4"/>
    <w:rsid w:val="44F85FFB"/>
    <w:rsid w:val="494141CB"/>
    <w:rsid w:val="4D342750"/>
    <w:rsid w:val="4F8E7268"/>
    <w:rsid w:val="531445C2"/>
    <w:rsid w:val="53456350"/>
    <w:rsid w:val="59762143"/>
    <w:rsid w:val="59E36BF9"/>
    <w:rsid w:val="5EA762EA"/>
    <w:rsid w:val="61227EAA"/>
    <w:rsid w:val="63A15FF9"/>
    <w:rsid w:val="6AE02ACF"/>
    <w:rsid w:val="72AC7F1B"/>
    <w:rsid w:val="7CA56D2A"/>
    <w:rsid w:val="7FA7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Cambria" w:hAnsi="Cambria"/>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annotation text"/>
    <w:basedOn w:val="1"/>
    <w:semiHidden/>
    <w:unhideWhenUsed/>
    <w:qFormat/>
    <w:uiPriority w:val="0"/>
    <w:pPr>
      <w:jc w:val="left"/>
    </w:pPr>
  </w:style>
  <w:style w:type="paragraph" w:styleId="9">
    <w:name w:val="toc 5"/>
    <w:basedOn w:val="1"/>
    <w:next w:val="1"/>
    <w:autoRedefine/>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autoRedefine/>
    <w:qFormat/>
    <w:uiPriority w:val="0"/>
    <w:pPr>
      <w:ind w:left="1470"/>
      <w:jc w:val="left"/>
    </w:pPr>
    <w:rPr>
      <w:sz w:val="20"/>
      <w:szCs w:val="20"/>
    </w:rPr>
  </w:style>
  <w:style w:type="paragraph" w:styleId="12">
    <w:name w:val="footer"/>
    <w:basedOn w:val="1"/>
    <w:link w:val="26"/>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autoRedefine/>
    <w:qFormat/>
    <w:uiPriority w:val="0"/>
    <w:pPr>
      <w:ind w:left="630"/>
      <w:jc w:val="left"/>
    </w:pPr>
    <w:rPr>
      <w:sz w:val="20"/>
      <w:szCs w:val="20"/>
    </w:rPr>
  </w:style>
  <w:style w:type="paragraph" w:styleId="16">
    <w:name w:val="toc 6"/>
    <w:basedOn w:val="1"/>
    <w:next w:val="1"/>
    <w:autoRedefine/>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autoRedefine/>
    <w:qFormat/>
    <w:uiPriority w:val="0"/>
    <w:pPr>
      <w:ind w:left="1680"/>
      <w:jc w:val="left"/>
    </w:pPr>
    <w:rPr>
      <w:sz w:val="20"/>
      <w:szCs w:val="20"/>
    </w:rPr>
  </w:style>
  <w:style w:type="character" w:styleId="21">
    <w:name w:val="page number"/>
    <w:basedOn w:val="20"/>
    <w:qFormat/>
    <w:uiPriority w:val="0"/>
  </w:style>
  <w:style w:type="character" w:styleId="22">
    <w:name w:val="Hyperlink"/>
    <w:basedOn w:val="20"/>
    <w:qFormat/>
    <w:uiPriority w:val="0"/>
    <w:rPr>
      <w:color w:val="0000FF"/>
      <w:u w:val="single"/>
    </w:rPr>
  </w:style>
  <w:style w:type="character" w:customStyle="1" w:styleId="23">
    <w:name w:val="标题 4 Char"/>
    <w:basedOn w:val="20"/>
    <w:link w:val="5"/>
    <w:qFormat/>
    <w:uiPriority w:val="0"/>
    <w:rPr>
      <w:rFonts w:ascii="Cambria" w:hAnsi="Cambria"/>
      <w:b/>
      <w:bCs/>
      <w:kern w:val="2"/>
      <w:sz w:val="28"/>
      <w:szCs w:val="28"/>
    </w:rPr>
  </w:style>
  <w:style w:type="paragraph" w:styleId="24">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5">
    <w:name w:val="无间隔 Char"/>
    <w:link w:val="24"/>
    <w:qFormat/>
    <w:locked/>
    <w:uiPriority w:val="0"/>
    <w:rPr>
      <w:rFonts w:eastAsia="仿宋_GB2312"/>
      <w:sz w:val="30"/>
      <w:szCs w:val="22"/>
      <w:lang w:bidi="ar-SA"/>
    </w:rPr>
  </w:style>
  <w:style w:type="character" w:customStyle="1" w:styleId="26">
    <w:name w:val="页脚 Char"/>
    <w:basedOn w:val="20"/>
    <w:link w:val="12"/>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Char"/>
    <w:basedOn w:val="20"/>
    <w:link w:val="4"/>
    <w:qFormat/>
    <w:uiPriority w:val="0"/>
    <w:rPr>
      <w:b/>
      <w:bCs/>
      <w:kern w:val="2"/>
      <w:sz w:val="32"/>
      <w:szCs w:val="32"/>
    </w:rPr>
  </w:style>
  <w:style w:type="paragraph" w:customStyle="1" w:styleId="29">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列2</c:v>
                </c:pt>
              </c:strCache>
            </c:strRef>
          </c:tx>
          <c:spPr/>
          <c:explosion val="0"/>
          <c:dPt>
            <c:idx val="0"/>
            <c:bubble3D val="0"/>
            <c:spPr>
              <a:solidFill>
                <a:schemeClr val="accent1"/>
              </a:solidFill>
              <a:ln>
                <a:solidFill>
                  <a:schemeClr val="bg1"/>
                </a:solidFill>
              </a:ln>
              <a:effectLst/>
            </c:spPr>
          </c:dPt>
          <c:dLbls>
            <c:dLbl>
              <c:idx val="0"/>
              <c:layout>
                <c:manualLayout>
                  <c:x val="0.223241625644775"/>
                  <c:y val="-0.104129506960041"/>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61512939615129"/>
                      <c:h val="0.114731839782756"/>
                    </c:manualLayout>
                  </c15:layout>
                </c:ext>
              </c:extLst>
            </c:dLbl>
            <c:numFmt formatCode="#,##0.00_);[Red]\(#,##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1820.72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080d6c8-1418-416a-aa54-1d12c5f6225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列2</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238060657448441"/>
                  <c:y val="-0.120497043579718"/>
                </c:manualLayout>
              </c:layout>
              <c:dLblPos val="bestFit"/>
              <c:showLegendKey val="0"/>
              <c:showVal val="1"/>
              <c:showCatName val="0"/>
              <c:showSerName val="0"/>
              <c:showPercent val="0"/>
              <c:showBubbleSize val="0"/>
              <c:separator>;</c:separator>
              <c:extLst>
                <c:ext xmlns:c15="http://schemas.microsoft.com/office/drawing/2012/chart" uri="{CE6537A1-D6FC-4f65-9D91-7224C49458BB}">
                  <c15:layout>
                    <c:manualLayout>
                      <c:w val="0.147380218548613"/>
                      <c:h val="0.106574394463668"/>
                    </c:manualLayout>
                  </c15:layout>
                </c:ext>
              </c:extLst>
            </c:dLbl>
            <c:dLbl>
              <c:idx val="1"/>
              <c:layout>
                <c:manualLayout>
                  <c:x val="-0.175873059049937"/>
                  <c:y val="0.0254761546596601"/>
                </c:manualLayout>
              </c:layout>
              <c:dLblPos val="bestFit"/>
              <c:showLegendKey val="0"/>
              <c:showVal val="1"/>
              <c:showCatName val="0"/>
              <c:showSerName val="0"/>
              <c:showPercent val="0"/>
              <c:showBubbleSize val="0"/>
              <c:separator>;</c:separator>
              <c:extLst>
                <c:ext xmlns:c15="http://schemas.microsoft.com/office/drawing/2012/chart" uri="{CE6537A1-D6FC-4f65-9D91-7224C49458BB}">
                  <c15:layout>
                    <c:manualLayout>
                      <c:w val="0.0958251611095545"/>
                      <c:h val="0.0795847750865052"/>
                    </c:manualLayout>
                  </c15:layout>
                </c:ext>
              </c:extLst>
            </c:dLbl>
            <c:numFmt formatCode="#,##0.00_);[Red]\(#,##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eparator>;</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1756.72</c:v>
                </c:pt>
                <c:pt idx="1">
                  <c:v>64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887935a-c9ab-4f82-bb9a-70bdf918cf9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2.xml><?xml version="1.0" encoding="utf-8"?>
<contractReview xmlns="http://schemas.wps.cn/vas-ai-hub/contract-review">
  <reviewItems>
    <reviewItem>
      <errorID>ad4452ac-bf49-4db4-983a-f93aa4114411</errorID>
      <errorWord>见</errorWord>
      <group>L1_Word</group>
      <groupName>字词问题</groupName>
      <ability>L2_Typo</ability>
      <abilityName>字词错误</abilityName>
      <candidateList>
        <item>见下</item>
      </candidateList>
      <explain/>
      <paraID>41114010</paraID>
      <start>60</start>
      <end>61</end>
      <status>unmodified</status>
      <modifiedWord/>
      <trackRevisions>false</trackRevisions>
    </reviewItem>
    <reviewItem>
      <errorID>15d20233-897a-41b1-8d22-dd16dae38560</errorID>
      <errorWord>特色社会主义思想作为</errorWord>
      <group>L1_Word</group>
      <groupName>字词问题</groupName>
      <ability>L2_Typo</ability>
      <abilityName>字词错误</abilityName>
      <candidateList>
        <item>特色社会主义思想为</item>
      </candidateList>
      <explain/>
      <paraID>136739DA</paraID>
      <start>98</start>
      <end>108</end>
      <status>unmodified</status>
      <modifiedWord/>
      <trackRevisions>false</trackRevisions>
    </reviewItem>
    <reviewItem>
      <errorID>67a57cbe-f1a8-41f0-8b27-0a49a48daa38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1654B865</paraID>
      <start>0</start>
      <end>2</end>
      <status>unmodified</status>
      <modifiedWord/>
      <trackRevisions>false</trackRevisions>
    </reviewItem>
    <reviewItem>
      <errorID>6f6b2694-0f93-40aa-90b7-13bfd78333dd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59AEF8AA</paraID>
      <start>0</start>
      <end>2</end>
      <status>unmodified</status>
      <modifiedWord/>
      <trackRevisions>false</trackRevisions>
    </reviewItem>
    <reviewItem>
      <errorID>90b64b3f-f9da-4a12-94b8-278ee02f4c6b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E9314AA</paraID>
      <start>0</start>
      <end>2</end>
      <status>unmodified</status>
      <modifiedWord/>
      <trackRevisions>false</trackRevisions>
    </reviewItem>
    <reviewItem>
      <errorID>1a7ef5e9-284d-4afe-8dd8-6b90b9070ebd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E727861</paraID>
      <start>0</start>
      <end>2</end>
      <status>unmodified</status>
      <modifiedWord/>
      <trackRevisions>false</trackRevisions>
    </reviewItem>
    <reviewItem>
      <errorID>861de34c-4845-4a8a-8552-f5917fa2c99f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12C589AE</paraID>
      <start>0</start>
      <end>2</end>
      <status>unmodified</status>
      <modifiedWord/>
      <trackRevisions>false</trackRevisions>
    </reviewItem>
    <reviewItem>
      <errorID>7e51fc51-361f-4861-946b-dff1964ffa2c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2DA4AA9B</paraID>
      <start>0</start>
      <end>2</end>
      <status>unmodified</status>
      <modifiedWord/>
      <trackRevisions>false</trackRevisions>
    </reviewItem>
    <reviewItem>
      <errorID>ac26d8b0-4873-45f1-ab2f-73d858952ee4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149E7F2F</paraID>
      <start>0</start>
      <end>2</end>
      <status>unmodified</status>
      <modifiedWord/>
      <trackRevisions>false</trackRevisions>
    </reviewItem>
    <reviewItem>
      <errorID>213d63d2-883d-4b70-8ef3-1bceaacf4ef8</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40A6226F</paraID>
      <start>14</start>
      <end>17</end>
      <status>unmodified</status>
      <modifiedWord/>
      <trackRevisions>false</trackRevisions>
    </reviewItem>
    <reviewItem>
      <errorID>0b1f5cb1-1455-4112-a235-e8f3c8414b12</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40A6226F</paraID>
      <start>88</start>
      <end>91</end>
      <status>unmodified</status>
      <modifiedWord/>
      <trackRevisions>false</trackRevisions>
    </reviewItem>
    <reviewItem>
      <errorID>60379140-c358-4b25-ac3d-8463c4e45418</errorID>
      <errorWord>(</errorWord>
      <group>L1_Format</group>
      <groupName>格式问题</groupName>
      <ability>L2_HalfPunc_CN</ability>
      <abilityName>全半角检查</abilityName>
      <candidateList>
        <item>（</item>
      </candidateList>
      <explain>文本全半角错误。</explain>
      <paraID>4302D392</paraID>
      <start>10</start>
      <end>11</end>
      <status>unmodified</status>
      <modifiedWord/>
      <trackRevisions>false</trackRevisions>
    </reviewItem>
    <reviewItem>
      <errorID>438684fe-5b90-4de4-b54e-31038b41b4c9</errorID>
      <errorWord>象</errorWord>
      <group>L1_Word</group>
      <groupName>字词问题</groupName>
      <ability>L2_Typo</ability>
      <abilityName>字词错误</abilityName>
      <candidateList>
        <item>象满</item>
      </candidateList>
      <explain/>
      <paraID>596C20F9</paraID>
      <start>96</start>
      <end>97</end>
      <status>unmodified</status>
      <modifiedWord/>
      <trackRevisions>false</trackRevisions>
    </reviewItem>
    <reviewItem>
      <errorID>6815f7bd-4b4e-4792-9997-fb02f8966de4</errorID>
      <errorWord>(</errorWord>
      <group>L1_Format</group>
      <groupName>格式问题</groupName>
      <ability>L2_HalfPunc_CN</ability>
      <abilityName>全半角检查</abilityName>
      <candidateList>
        <item>（</item>
      </candidateList>
      <explain>文本全半角错误。</explain>
      <paraID> A3F8179</paraID>
      <start>10</start>
      <end>11</end>
      <status>unmodified</status>
      <modifiedWord/>
      <trackRevisions>false</trackRevisions>
    </reviewItem>
  </reviewItems>
  <config/>
</contractReview>
</file>

<file path=customXml/itemProps1.xml><?xml version="1.0" encoding="utf-8"?>
<ds:datastoreItem xmlns:ds="http://schemas.openxmlformats.org/officeDocument/2006/customXml" ds:itemID="{F9EFA431-08EF-4F05-98C9-94DEF7E0C46D}">
  <ds:schemaRefs/>
</ds:datastoreItem>
</file>

<file path=customXml/itemProps2.xml><?xml version="1.0" encoding="utf-8"?>
<ds:datastoreItem xmlns:ds="http://schemas.openxmlformats.org/officeDocument/2006/customXml" ds:itemID="{f8315a4c-c70c-4365-a571-e7c40f38888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6053</Words>
  <Characters>7039</Characters>
  <Lines>81</Lines>
  <Paragraphs>22</Paragraphs>
  <TotalTime>1</TotalTime>
  <ScaleCrop>false</ScaleCrop>
  <LinksUpToDate>false</LinksUpToDate>
  <CharactersWithSpaces>7051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2026-08-03T07:08:00Z</dcterms:created>
  <dc:creator>Administrator</dc:creator>
  <cp:lastModifiedBy>138****4162</cp:lastModifiedBy>
  <cp:lastPrinted>2021-04-16T00:45:00Z</cp:lastPrinted>
  <dcterms:modified xsi:type="dcterms:W3CDTF">2026-08-19T08:07:57Z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B425F56654044344B684240AFE60B124_13</vt:lpwstr>
  </property>
  <property fmtid="{D5CDD505-2E9C-101B-9397-08002B2CF9AE}" pid="3" name="KSOProductBuildVer">
    <vt:lpwstr>2052-12.1.0.26895</vt:lpwstr>
  </property>
  <property fmtid="{D5CDD505-2E9C-101B-9397-08002B2CF9AE}" pid="4" name="KSOTemplateDocerSaveRecord">
    <vt:lpwstr>eyJoZGlkIjoiNzJmODE1MGY4MjVmZTJhMDcyZDI3MjE3MWE3YjVlZTkiLCJ1c2VySWQiOiIxMDY1MDk0OTc4In0=</vt:lpwstr>
  </property>
</Properties>
</file>